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6701E6">
      <w:pPr>
        <w:spacing w:line="440" w:lineRule="exact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 w:rsidP="006701E6">
      <w:pPr>
        <w:spacing w:line="44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57251C">
        <w:rPr>
          <w:rFonts w:ascii="方正小标宋简体" w:eastAsia="方正小标宋简体" w:hint="eastAsia"/>
          <w:color w:val="000000"/>
          <w:sz w:val="36"/>
          <w:szCs w:val="36"/>
        </w:rPr>
        <w:t>4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F44A96">
        <w:rPr>
          <w:rFonts w:ascii="方正小标宋简体" w:eastAsia="方正小标宋简体" w:hint="eastAsia"/>
          <w:color w:val="000000"/>
          <w:sz w:val="36"/>
          <w:szCs w:val="36"/>
        </w:rPr>
        <w:t>艺术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p w:rsidR="00D82E42" w:rsidRDefault="00D82E42" w:rsidP="006701E6">
      <w:pPr>
        <w:spacing w:line="4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W w:w="15363" w:type="dxa"/>
        <w:jc w:val="center"/>
        <w:tblInd w:w="1992" w:type="dxa"/>
        <w:tblLayout w:type="fixed"/>
        <w:tblLook w:val="04A0"/>
      </w:tblPr>
      <w:tblGrid>
        <w:gridCol w:w="658"/>
        <w:gridCol w:w="4232"/>
        <w:gridCol w:w="6698"/>
        <w:gridCol w:w="872"/>
        <w:gridCol w:w="900"/>
        <w:gridCol w:w="2003"/>
      </w:tblGrid>
      <w:tr w:rsidR="005666A5" w:rsidTr="00335211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335211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6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5666A5" w:rsidTr="00335211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D05F0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05F08">
              <w:rPr>
                <w:rFonts w:ascii="仿宋_GB2312" w:eastAsia="仿宋_GB2312" w:hint="eastAsia"/>
                <w:sz w:val="24"/>
              </w:rPr>
              <w:t>职称申报诚信承诺书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 w:rsidP="005F44F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</w:t>
            </w:r>
            <w:r w:rsidR="005F44F6">
              <w:rPr>
                <w:rFonts w:ascii="仿宋_GB2312" w:eastAsia="仿宋_GB2312" w:cs="宋体" w:hint="eastAsia"/>
                <w:kern w:val="0"/>
                <w:sz w:val="24"/>
              </w:rPr>
              <w:t>附件表格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980C7F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D05F08">
              <w:rPr>
                <w:rFonts w:ascii="仿宋_GB2312" w:eastAsia="仿宋_GB2312" w:cs="宋体" w:hint="eastAsia"/>
                <w:kern w:val="0"/>
                <w:sz w:val="24"/>
              </w:rPr>
              <w:t>PDF</w:t>
            </w:r>
            <w:r w:rsidR="006A696C">
              <w:rPr>
                <w:rFonts w:ascii="仿宋_GB2312" w:eastAsia="仿宋_GB2312" w:cs="宋体" w:hint="eastAsia"/>
                <w:kern w:val="0"/>
                <w:sz w:val="24"/>
              </w:rPr>
              <w:t>电子版</w:t>
            </w:r>
          </w:p>
        </w:tc>
      </w:tr>
      <w:tr w:rsidR="00F44A96" w:rsidTr="00335211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1C46EF" w:rsidRDefault="00F44A96" w:rsidP="0071181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C46EF">
              <w:rPr>
                <w:rFonts w:ascii="仿宋_GB2312" w:eastAsia="仿宋_GB2312" w:hint="eastAsia"/>
                <w:sz w:val="24"/>
              </w:rPr>
              <w:t>空岗证明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1C46EF" w:rsidRDefault="00F44A96" w:rsidP="0071181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 w:rsidRPr="001C46EF">
              <w:rPr>
                <w:rFonts w:ascii="仿宋_GB2312" w:eastAsia="仿宋_GB2312" w:cs="宋体" w:hint="eastAsia"/>
                <w:kern w:val="0"/>
                <w:sz w:val="24"/>
              </w:rPr>
              <w:t>实行评聘合一的</w:t>
            </w:r>
            <w:r w:rsidR="006701E6">
              <w:rPr>
                <w:rFonts w:ascii="仿宋_GB2312" w:eastAsia="仿宋_GB2312" w:cs="宋体" w:hint="eastAsia"/>
                <w:kern w:val="0"/>
                <w:sz w:val="24"/>
              </w:rPr>
              <w:t>事业</w:t>
            </w:r>
            <w:r w:rsidRPr="001C46EF">
              <w:rPr>
                <w:rFonts w:ascii="仿宋_GB2312" w:eastAsia="仿宋_GB2312" w:cs="宋体" w:hint="eastAsia"/>
                <w:kern w:val="0"/>
                <w:sz w:val="24"/>
              </w:rPr>
              <w:t>单位须提供由编制或人事主管部门盖章的空岗证明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1C46EF" w:rsidRDefault="00F44A96" w:rsidP="0071181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C46E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1C46EF" w:rsidRDefault="00F44A96" w:rsidP="0071181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C46E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3D3C2A" w:rsidRDefault="00F44A96" w:rsidP="0071181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C46EF">
              <w:rPr>
                <w:rFonts w:ascii="仿宋_GB2312" w:eastAsia="仿宋_GB2312" w:hint="eastAsia"/>
                <w:sz w:val="24"/>
              </w:rPr>
              <w:t>原件</w:t>
            </w:r>
          </w:p>
        </w:tc>
      </w:tr>
      <w:tr w:rsidR="00F44A96" w:rsidTr="00335211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F25503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申报艺术系列中初级职称人员简明表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详见附件表格，填写内容应与简明表完全一致。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/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D05F08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提供已持有的职称证书，含转系列申报。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/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/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0F" w:rsidRDefault="00CC5160" w:rsidP="00356881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需附业绩成果证明目录。证明材料包含</w:t>
            </w:r>
            <w:r w:rsidR="00356881" w:rsidRPr="00356881">
              <w:rPr>
                <w:rFonts w:ascii="仿宋_GB2312" w:eastAsia="仿宋_GB2312" w:cs="宋体" w:hint="eastAsia"/>
                <w:kern w:val="0"/>
                <w:sz w:val="24"/>
              </w:rPr>
              <w:t>获奖、荣誉、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设计方案、节目单、结项通知</w:t>
            </w:r>
            <w:r w:rsidR="00356881" w:rsidRPr="00356881">
              <w:rPr>
                <w:rFonts w:ascii="仿宋_GB2312" w:eastAsia="仿宋_GB2312" w:cs="宋体" w:hint="eastAsia"/>
                <w:kern w:val="0"/>
                <w:sz w:val="24"/>
              </w:rPr>
              <w:t>等</w:t>
            </w:r>
            <w:r w:rsidR="00100C0F"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  <w:p w:rsidR="00100C0F" w:rsidRDefault="00100C0F" w:rsidP="00216878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中级职称申报人员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（初级不做硬性要求）和</w:t>
            </w:r>
            <w:r w:rsidRPr="00100C0F">
              <w:rPr>
                <w:rFonts w:ascii="仿宋_GB2312" w:eastAsia="仿宋_GB2312" w:cs="宋体" w:hint="eastAsia"/>
                <w:kern w:val="0"/>
                <w:sz w:val="24"/>
              </w:rPr>
              <w:t>非本专业或相近专</w:t>
            </w:r>
            <w:r w:rsidRPr="00100C0F"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业毕业申报者、新文艺群体申报者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，另须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提供代表作1件（在目录中标注，证明材料放在最前），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即由本人创作、能代表本人专业技术能力水平的作品，详见《</w:t>
            </w:r>
            <w:r w:rsidRPr="00E555DE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艺术系列代表性成果提交指南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》</w:t>
            </w:r>
            <w:r w:rsidRPr="002664C7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，用稿证明一律不予认可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；申报中级</w:t>
            </w:r>
            <w:r w:rsidR="00216878">
              <w:rPr>
                <w:rFonts w:ascii="仿宋_GB2312" w:eastAsia="仿宋_GB2312" w:cs="宋体" w:hint="eastAsia"/>
                <w:kern w:val="0"/>
                <w:sz w:val="24"/>
              </w:rPr>
              <w:t>职称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的</w:t>
            </w:r>
            <w:r w:rsidR="00356881">
              <w:rPr>
                <w:rFonts w:ascii="仿宋_GB2312" w:eastAsia="仿宋_GB2312" w:cs="宋体" w:hint="eastAsia"/>
                <w:kern w:val="0"/>
                <w:sz w:val="24"/>
              </w:rPr>
              <w:t>文艺院团艺术专业人员还须提供参与本单位演出场次证明，非国有文艺院团的提供参加文旅行政部门组织的志愿服务活动证明</w:t>
            </w:r>
            <w:r w:rsidRPr="00100C0F"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88258D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/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D176F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每年不少于90学时</w:t>
            </w:r>
            <w:r w:rsidR="007D1E26" w:rsidRPr="007D1E26">
              <w:rPr>
                <w:rFonts w:ascii="仿宋_GB2312" w:eastAsia="仿宋_GB2312" w:cs="宋体" w:hint="eastAsia"/>
                <w:kern w:val="0"/>
                <w:sz w:val="24"/>
              </w:rPr>
              <w:t>，公共课30分，专业课60分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。其中，中级职称申报人员须由市人社局核验并开具合格证明，初级职称申报人员须由主管部门核验并开具合格证明。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9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/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D176F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提供不少于任职所要求年限的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  <w:p w:rsidR="002664C7" w:rsidRDefault="002664C7" w:rsidP="006D176F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 w:rsidRPr="002664C7">
              <w:rPr>
                <w:rFonts w:ascii="仿宋_GB2312" w:eastAsia="仿宋_GB2312" w:cs="宋体" w:hint="eastAsia"/>
                <w:kern w:val="0"/>
                <w:sz w:val="24"/>
              </w:rPr>
              <w:t>自由职业者申报职称的年度表现应在个人业务总结中体现，内容包括但不限于遵守宪法和法律法规、坚持马克思主义文艺观、遵守职业道德和敬业精神、业绩和学术成果等情况，不再另行提供年度考核材料。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说明具体情况及理由。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说明具体情况及理由。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F44A96" w:rsidTr="00335211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Pr="00471227" w:rsidRDefault="00F44A96" w:rsidP="0071181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471227">
              <w:rPr>
                <w:rFonts w:ascii="仿宋_GB2312" w:eastAsia="仿宋_GB2312" w:cs="宋体" w:hint="eastAsia"/>
                <w:bCs/>
                <w:kern w:val="0"/>
                <w:sz w:val="24"/>
              </w:rPr>
              <w:t>艺术总结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71181F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中级</w:t>
            </w:r>
            <w:r w:rsidR="005B5939">
              <w:rPr>
                <w:rFonts w:ascii="仿宋_GB2312" w:eastAsia="仿宋_GB2312" w:hint="eastAsia"/>
                <w:snapToGrid w:val="0"/>
                <w:kern w:val="0"/>
                <w:sz w:val="24"/>
              </w:rPr>
              <w:t>职称申报人员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（初级不做硬性要求）应提交独立撰写的艺术总结1篇</w:t>
            </w:r>
            <w:r w:rsidR="00733C4D">
              <w:rPr>
                <w:rFonts w:ascii="仿宋_GB2312" w:eastAsia="仿宋_GB2312" w:hint="eastAsia"/>
                <w:snapToGrid w:val="0"/>
                <w:kern w:val="0"/>
                <w:sz w:val="24"/>
              </w:rPr>
              <w:t>，对自己的艺术成果和创作经验进行理论总结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。</w:t>
            </w:r>
          </w:p>
          <w:p w:rsidR="00F44A96" w:rsidRDefault="00F44A96" w:rsidP="0071181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期间如有独立撰写并正式发表的本专业学术论文，可按以下要求提交：1.复印封面、封二、封底、目录和全文后盖章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71181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71181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71181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另附PDF电子版、期刊原件</w:t>
            </w:r>
          </w:p>
        </w:tc>
      </w:tr>
      <w:tr w:rsidR="00F44A96" w:rsidTr="00335211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中初级职称学术水平、业绩成果综合评价汇总表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2664C7" w:rsidP="00100C0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 w:rsidRPr="002664C7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可选择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由本人创作的且能代表本人专业技术能力水平的</w:t>
            </w:r>
            <w:r w:rsidRPr="002664C7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学术专著、学术文章、代表性作品作为代表性成果，填入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汇总表</w:t>
            </w:r>
            <w:r w:rsidRPr="002664C7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“代表作”栏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中</w:t>
            </w:r>
            <w:r w:rsidR="00100C0F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F44A96" w:rsidTr="00335211">
        <w:trPr>
          <w:trHeight w:val="4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D82E42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F44A96" w:rsidTr="00335211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D82E42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仅限破格申报中级职称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E555DE" w:rsidTr="00335211">
        <w:trPr>
          <w:trHeight w:val="5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D82E42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 w:rsidP="00DE3CA5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初级1寸，中级2寸。电子版照片格式为JPG，底色不限，“申报专业_姓名.jpg”命名。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 w:rsidP="00DE3CA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 w:rsidP="00DE3CA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DE" w:rsidRDefault="00E555DE" w:rsidP="00DE3CA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原件,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另附JPG电子版</w:t>
            </w:r>
          </w:p>
        </w:tc>
      </w:tr>
      <w:tr w:rsidR="00F44A96" w:rsidTr="00335211">
        <w:trPr>
          <w:trHeight w:val="20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96" w:rsidRDefault="00F44A96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</w:t>
            </w:r>
            <w:r w:rsidRPr="002664C7">
              <w:rPr>
                <w:rFonts w:ascii="仿宋_GB2312" w:eastAsia="仿宋_GB2312" w:hint="eastAsia"/>
                <w:b/>
                <w:kern w:val="0"/>
                <w:sz w:val="24"/>
              </w:rPr>
              <w:t>双面打印</w:t>
            </w:r>
            <w:r w:rsidR="00335211">
              <w:rPr>
                <w:rFonts w:ascii="仿宋_GB2312" w:eastAsia="仿宋_GB2312" w:hint="eastAsia"/>
                <w:kern w:val="0"/>
                <w:sz w:val="24"/>
              </w:rPr>
              <w:t>，</w:t>
            </w:r>
            <w:r w:rsidR="00335211" w:rsidRPr="00390E71">
              <w:rPr>
                <w:rFonts w:ascii="仿宋_GB2312" w:eastAsia="仿宋_GB2312" w:hint="eastAsia"/>
                <w:b/>
                <w:kern w:val="0"/>
                <w:sz w:val="24"/>
              </w:rPr>
              <w:t>复印件应每页加盖用人单位公章，注明“属原件复印”，审核人签名</w:t>
            </w:r>
            <w:r w:rsidR="00335211">
              <w:rPr>
                <w:rFonts w:ascii="仿宋_GB2312" w:eastAsia="仿宋_GB2312" w:hint="eastAsia"/>
                <w:b/>
                <w:kern w:val="0"/>
                <w:sz w:val="24"/>
              </w:rPr>
              <w:t>；</w:t>
            </w:r>
            <w:r w:rsidR="00C42FC8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       </w:t>
            </w:r>
          </w:p>
          <w:p w:rsidR="00F44A96" w:rsidRDefault="00F44A96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2.表格下载后不得改变格式内容，所有材料按顺序组装后用长尾夹固定；</w:t>
            </w:r>
          </w:p>
          <w:p w:rsidR="00F44A96" w:rsidRDefault="00F44A96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</w:t>
            </w:r>
            <w:r w:rsidR="007D1E26">
              <w:rPr>
                <w:rFonts w:ascii="仿宋_GB2312" w:eastAsia="仿宋_GB2312" w:cs="宋体" w:hint="eastAsia"/>
                <w:kern w:val="0"/>
                <w:sz w:val="24"/>
              </w:rPr>
              <w:t>开发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单位（编外人员）；</w:t>
            </w:r>
          </w:p>
          <w:p w:rsidR="00F44A96" w:rsidRDefault="00F44A96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4.所有材料相同事项应内容一致，电子文档应与纸质材料一致，电子文档请统一打包发送至wlj_rsc@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谢雯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，联系电话5371912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 w:rsidP="00335211"/>
    <w:sectPr w:rsidR="005666A5" w:rsidSect="00D82E42">
      <w:footerReference w:type="default" r:id="rId7"/>
      <w:pgSz w:w="16840" w:h="11907" w:orient="landscape"/>
      <w:pgMar w:top="1588" w:right="1588" w:bottom="1588" w:left="1588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DD" w:rsidRDefault="00CA61DD" w:rsidP="005666A5">
      <w:r>
        <w:separator/>
      </w:r>
    </w:p>
  </w:endnote>
  <w:endnote w:type="continuationSeparator" w:id="0">
    <w:p w:rsidR="00CA61DD" w:rsidRDefault="00CA61DD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DD" w:rsidRDefault="00CA61DD" w:rsidP="005666A5">
      <w:r>
        <w:separator/>
      </w:r>
    </w:p>
  </w:footnote>
  <w:footnote w:type="continuationSeparator" w:id="0">
    <w:p w:rsidR="00CA61DD" w:rsidRDefault="00CA61DD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43DFA"/>
    <w:rsid w:val="000474D9"/>
    <w:rsid w:val="000763D5"/>
    <w:rsid w:val="000B4BC8"/>
    <w:rsid w:val="000D11BE"/>
    <w:rsid w:val="000D15FC"/>
    <w:rsid w:val="000E6122"/>
    <w:rsid w:val="00100C0F"/>
    <w:rsid w:val="00163DB9"/>
    <w:rsid w:val="0017012D"/>
    <w:rsid w:val="001E6D96"/>
    <w:rsid w:val="001E7004"/>
    <w:rsid w:val="002010EC"/>
    <w:rsid w:val="00216878"/>
    <w:rsid w:val="00241BC1"/>
    <w:rsid w:val="002664C7"/>
    <w:rsid w:val="002712A2"/>
    <w:rsid w:val="00295D6B"/>
    <w:rsid w:val="00304E79"/>
    <w:rsid w:val="00306D01"/>
    <w:rsid w:val="00310D36"/>
    <w:rsid w:val="00335211"/>
    <w:rsid w:val="00335EC3"/>
    <w:rsid w:val="00356881"/>
    <w:rsid w:val="00390E71"/>
    <w:rsid w:val="003D4F37"/>
    <w:rsid w:val="004424B4"/>
    <w:rsid w:val="00442D78"/>
    <w:rsid w:val="00477504"/>
    <w:rsid w:val="00540A93"/>
    <w:rsid w:val="005666A5"/>
    <w:rsid w:val="005678A9"/>
    <w:rsid w:val="0057251C"/>
    <w:rsid w:val="005A3FDA"/>
    <w:rsid w:val="005B5939"/>
    <w:rsid w:val="005D68CA"/>
    <w:rsid w:val="005F44F6"/>
    <w:rsid w:val="006701E6"/>
    <w:rsid w:val="0069492F"/>
    <w:rsid w:val="006A696C"/>
    <w:rsid w:val="006B26F9"/>
    <w:rsid w:val="006D57AE"/>
    <w:rsid w:val="00723FD7"/>
    <w:rsid w:val="00733C4D"/>
    <w:rsid w:val="00745E0E"/>
    <w:rsid w:val="007D1E26"/>
    <w:rsid w:val="00842C6E"/>
    <w:rsid w:val="00846B59"/>
    <w:rsid w:val="0088258D"/>
    <w:rsid w:val="008B0B93"/>
    <w:rsid w:val="008F03BF"/>
    <w:rsid w:val="00950F65"/>
    <w:rsid w:val="00980C7F"/>
    <w:rsid w:val="0098110D"/>
    <w:rsid w:val="009C566B"/>
    <w:rsid w:val="009F6F06"/>
    <w:rsid w:val="00AB0F63"/>
    <w:rsid w:val="00B60D57"/>
    <w:rsid w:val="00B649EB"/>
    <w:rsid w:val="00BF0794"/>
    <w:rsid w:val="00C42FC8"/>
    <w:rsid w:val="00C52EDE"/>
    <w:rsid w:val="00C6366E"/>
    <w:rsid w:val="00C7047B"/>
    <w:rsid w:val="00CA61DD"/>
    <w:rsid w:val="00CC10BB"/>
    <w:rsid w:val="00CC5160"/>
    <w:rsid w:val="00D03DFD"/>
    <w:rsid w:val="00D05F08"/>
    <w:rsid w:val="00D37D4B"/>
    <w:rsid w:val="00D82E42"/>
    <w:rsid w:val="00D85AFE"/>
    <w:rsid w:val="00DD08E2"/>
    <w:rsid w:val="00E53745"/>
    <w:rsid w:val="00E555DE"/>
    <w:rsid w:val="00E81E61"/>
    <w:rsid w:val="00E85125"/>
    <w:rsid w:val="00EA28CE"/>
    <w:rsid w:val="00EC369E"/>
    <w:rsid w:val="00EF7252"/>
    <w:rsid w:val="00EF7B23"/>
    <w:rsid w:val="00F25503"/>
    <w:rsid w:val="00F44A96"/>
    <w:rsid w:val="00FB2E6B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306</Words>
  <Characters>1746</Characters>
  <Application>Microsoft Office Word</Application>
  <DocSecurity>0</DocSecurity>
  <Lines>14</Lines>
  <Paragraphs>4</Paragraphs>
  <ScaleCrop>false</ScaleCrop>
  <Company>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25</cp:revision>
  <dcterms:created xsi:type="dcterms:W3CDTF">2022-03-16T08:54:00Z</dcterms:created>
  <dcterms:modified xsi:type="dcterms:W3CDTF">2025-03-31T05:00:00Z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