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eastAsia="宋体"/>
          <w:sz w:val="18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4"/>
          <w:szCs w:val="44"/>
          <w:lang w:eastAsia="zh-CN"/>
        </w:rPr>
        <w:t>厦门市文化和旅游局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《关于促进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住宿业提质增效若干措施》实施细则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一、政策目的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围绕推动住宿业高质量发展，梳理形成《促进住宿业提质增效》若干措施，加大政策扶持力度，推动工作精准发力，鼓励住宿业做大做强，形成有效支撑。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二、奖励设置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实施细则包括鼓励旅行社组织游客来厦旅游、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对住宿业企业进行综合评价，按年度综合发展质效增量的2%奖励、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激励住宿业单位做大做强等奖励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三、申报程序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按照“企业申报、审核公示、资金拨付”三个流程进行。申报时间、申报方式等具体安排由厦门市文化和旅游局另行通知。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四、监督检查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主体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对申报材料的真实性、准确性、完整性负责；市文化和旅游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局对奖励补助资金实施监管，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依法接受财政、审计、监察机构的监督检查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，有关企业、个人应积极配合相关部门的监督监察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申报主体发生5类负面情形的，将取消申报资格，追回已拨发的奖励资金，取消后续年度奖励申报资格；涉嫌犯罪的，移送司法机关依法处理。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五、其他事项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实施细则有效期1年，奖项如与国家、省、市、区出台的其他政策同类的，企业可择优但不重复享受，法律法规和相关政策另有规定的除外。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440" w:rightChars="2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7C5352B"/>
    <w:rsid w:val="0AA0219A"/>
    <w:rsid w:val="16B210E1"/>
    <w:rsid w:val="21F56CA9"/>
    <w:rsid w:val="25FD35B9"/>
    <w:rsid w:val="2B464606"/>
    <w:rsid w:val="2F150D0E"/>
    <w:rsid w:val="38810353"/>
    <w:rsid w:val="3AE977AB"/>
    <w:rsid w:val="499D49D4"/>
    <w:rsid w:val="4B8E4B7D"/>
    <w:rsid w:val="4CCB6D08"/>
    <w:rsid w:val="65CE09AF"/>
    <w:rsid w:val="66B21509"/>
    <w:rsid w:val="677E6956"/>
    <w:rsid w:val="6DB25AA8"/>
    <w:rsid w:val="752E2CC9"/>
    <w:rsid w:val="7614235F"/>
    <w:rsid w:val="7D4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</w:style>
  <w:style w:type="paragraph" w:styleId="3">
    <w:name w:val="index 5"/>
    <w:basedOn w:val="1"/>
    <w:next w:val="1"/>
    <w:unhideWhenUsed/>
    <w:uiPriority w:val="99"/>
    <w:pPr>
      <w:ind w:left="800" w:leftChars="8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Acetate"/>
    <w:basedOn w:val="1"/>
    <w:next w:val="11"/>
    <w:qFormat/>
    <w:uiPriority w:val="0"/>
    <w:rPr>
      <w:sz w:val="18"/>
    </w:rPr>
  </w:style>
  <w:style w:type="paragraph" w:customStyle="1" w:styleId="11">
    <w:name w:val="Endnote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林奎良</cp:lastModifiedBy>
  <dcterms:modified xsi:type="dcterms:W3CDTF">2025-03-14T01:20:11Z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