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AD" w:rsidRPr="00674DD7" w:rsidRDefault="00A64766">
      <w:pPr>
        <w:pStyle w:val="aa"/>
        <w:rPr>
          <w:rFonts w:asciiTheme="majorEastAsia" w:eastAsiaTheme="majorEastAsia" w:hAnsiTheme="majorEastAsia"/>
          <w:b/>
          <w:sz w:val="44"/>
          <w:szCs w:val="44"/>
        </w:rPr>
      </w:pPr>
      <w:r w:rsidRPr="00A64766">
        <w:rPr>
          <w:rFonts w:asciiTheme="majorEastAsia" w:eastAsiaTheme="majorEastAsia" w:hAnsiTheme="majorEastAsia" w:hint="eastAsia"/>
          <w:b/>
          <w:sz w:val="44"/>
          <w:szCs w:val="44"/>
        </w:rPr>
        <w:t>厦门市文化和旅游行业信用分级分类监管</w:t>
      </w:r>
    </w:p>
    <w:p w:rsidR="00544AAD" w:rsidRPr="00674DD7" w:rsidRDefault="00A64766">
      <w:pPr>
        <w:pStyle w:val="aa"/>
        <w:rPr>
          <w:rFonts w:asciiTheme="majorEastAsia" w:eastAsiaTheme="majorEastAsia" w:hAnsiTheme="majorEastAsia"/>
          <w:b/>
          <w:sz w:val="44"/>
          <w:szCs w:val="44"/>
        </w:rPr>
      </w:pPr>
      <w:r w:rsidRPr="00A64766">
        <w:rPr>
          <w:rFonts w:asciiTheme="majorEastAsia" w:eastAsiaTheme="majorEastAsia" w:hAnsiTheme="majorEastAsia" w:hint="eastAsia"/>
          <w:b/>
          <w:sz w:val="44"/>
          <w:szCs w:val="44"/>
        </w:rPr>
        <w:t>管理办法（试行）</w:t>
      </w:r>
      <w:r w:rsidRPr="00A64766">
        <w:rPr>
          <w:rFonts w:asciiTheme="majorEastAsia" w:eastAsiaTheme="majorEastAsia" w:hAnsiTheme="majorEastAsia" w:cs="仿宋_GB2312" w:hint="eastAsia"/>
          <w:b/>
          <w:sz w:val="44"/>
          <w:szCs w:val="44"/>
        </w:rPr>
        <w:t>征求意见稿</w:t>
      </w:r>
    </w:p>
    <w:p w:rsidR="00544AAD" w:rsidRDefault="00544AAD"/>
    <w:p w:rsidR="00544AAD" w:rsidRDefault="00D13561">
      <w:pPr>
        <w:pStyle w:val="1"/>
        <w:spacing w:before="93" w:after="62"/>
      </w:pPr>
      <w:r>
        <w:rPr>
          <w:rFonts w:hint="eastAsia"/>
        </w:rPr>
        <w:t>第一章 总  则</w:t>
      </w:r>
    </w:p>
    <w:p w:rsidR="00544AAD" w:rsidRDefault="00D13561" w:rsidP="00674DD7">
      <w:pPr>
        <w:pStyle w:val="20"/>
        <w:spacing w:before="31"/>
      </w:pPr>
      <w:r>
        <w:rPr>
          <w:rFonts w:hint="eastAsia"/>
        </w:rPr>
        <w:t>第一条（目的依据）</w:t>
      </w:r>
    </w:p>
    <w:p w:rsidR="00544AAD" w:rsidRDefault="00D13561">
      <w:r>
        <w:rPr>
          <w:rFonts w:hint="eastAsia"/>
        </w:rPr>
        <w:t>为推进厦门市文化和旅游行业信用体系建设，建立健全信用分级分类监管机制，深化“放管服”改革，提高资源配置效率、降低制度性交易成本、防范化解风险，进一步规范文化和旅游市场秩序，促进行业高质量发展，根据《国务院办公厅关于加快推进社会信用体系建设构建以信用为基础的新型监管机制的指导意见》《文化和旅游市场信用管理规定》以及《厦门经济特区社会信用条例》等法规和文件要求，结合本市文化和旅游行业实际，制定本办法。</w:t>
      </w:r>
    </w:p>
    <w:p w:rsidR="00544AAD" w:rsidRDefault="00D13561" w:rsidP="00674DD7">
      <w:pPr>
        <w:pStyle w:val="20"/>
        <w:spacing w:before="31"/>
      </w:pPr>
      <w:r>
        <w:rPr>
          <w:rFonts w:hint="eastAsia"/>
        </w:rPr>
        <w:t>第二条（适用范围）</w:t>
      </w:r>
    </w:p>
    <w:p w:rsidR="00544AAD" w:rsidRDefault="00D13561">
      <w:r>
        <w:rPr>
          <w:rFonts w:hint="eastAsia"/>
        </w:rPr>
        <w:t>在本市行政区域内，各级文化和旅游行业主管部门对文化和旅游行业市场主体及其从业人员执业行为的信用评价、信用监管等相关活动，适用本办法。</w:t>
      </w:r>
    </w:p>
    <w:p w:rsidR="00544AAD" w:rsidRDefault="00D13561">
      <w:r>
        <w:rPr>
          <w:rFonts w:hint="eastAsia"/>
        </w:rPr>
        <w:t>法律、法规和规章另有规定的，从其规定。</w:t>
      </w:r>
    </w:p>
    <w:p w:rsidR="00544AAD" w:rsidRDefault="00D13561" w:rsidP="00674DD7">
      <w:pPr>
        <w:pStyle w:val="20"/>
        <w:spacing w:before="31"/>
      </w:pPr>
      <w:r>
        <w:rPr>
          <w:rFonts w:hint="eastAsia"/>
        </w:rPr>
        <w:t>第三条（概念界定）</w:t>
      </w:r>
    </w:p>
    <w:p w:rsidR="00544AAD" w:rsidRDefault="00D13561">
      <w:r>
        <w:rPr>
          <w:rFonts w:hint="eastAsia"/>
        </w:rPr>
        <w:t>本办法所称市场主体，是指从事文化和旅游行业经营活动的法人组织或其他组织，包括但不限于从事经营性演出、娱乐场所、互联网上网服务、艺术品、网络文化等文化经营活动的</w:t>
      </w:r>
      <w:r>
        <w:rPr>
          <w:rFonts w:hint="eastAsia"/>
        </w:rPr>
        <w:lastRenderedPageBreak/>
        <w:t>企业和个体工商户，或从事旅行社、等级景区、星级饭店、在线旅游服务等旅游服务活动的企事业单位和个体工商户。从业人员是指上述市场主体的法定代表人、主要负责人、实际控制人等有关人员。</w:t>
      </w:r>
    </w:p>
    <w:p w:rsidR="00544AAD" w:rsidRDefault="00D13561">
      <w:r>
        <w:rPr>
          <w:rFonts w:hint="eastAsia"/>
        </w:rPr>
        <w:t>本办法所称信用评价，是指由厦门市文化和旅游局根据“客观公正、科学有效、动态管理、保护权益”原则，以我市各级文化和旅游行业主管部门在行政管理过程中产生和掌握的信用信息为评价依据，结合相关公共信用综合评价数据，构建信用评价模型，采用定性分析与定量分析相结合的评价方法，对市场主体进行信用评分，确定所属信用等级，并以数字、符号或文字形式记录的一种管理活动。</w:t>
      </w:r>
    </w:p>
    <w:p w:rsidR="00544AAD" w:rsidRDefault="00D13561">
      <w:r>
        <w:rPr>
          <w:rFonts w:hint="eastAsia"/>
        </w:rPr>
        <w:t>本办法所称信用监管，是指运用信用评价结果，对市场主体和从业人员进行分级分类，综合</w:t>
      </w:r>
      <w:proofErr w:type="gramStart"/>
      <w:r>
        <w:rPr>
          <w:rFonts w:hint="eastAsia"/>
        </w:rPr>
        <w:t>考量</w:t>
      </w:r>
      <w:proofErr w:type="gramEnd"/>
      <w:r>
        <w:rPr>
          <w:rFonts w:hint="eastAsia"/>
        </w:rPr>
        <w:t>监管资源和监管对象信用状况，建立监管标准并实施分类监管的活动。</w:t>
      </w:r>
    </w:p>
    <w:p w:rsidR="00544AAD" w:rsidRDefault="00D13561" w:rsidP="00674DD7">
      <w:pPr>
        <w:pStyle w:val="20"/>
        <w:spacing w:before="31"/>
      </w:pPr>
      <w:r>
        <w:rPr>
          <w:rFonts w:hint="eastAsia"/>
        </w:rPr>
        <w:t>第四条（基本原则）</w:t>
      </w:r>
    </w:p>
    <w:p w:rsidR="00544AAD" w:rsidRDefault="00D13561">
      <w:r>
        <w:rPr>
          <w:rFonts w:hint="eastAsia"/>
        </w:rPr>
        <w:t>文化和旅游行业公共信用信息的采集、归集、公开、共享和使用等活动，应当遵循合法、客观、及时、必要的原则，确保信息安全和准确，不得泄露国家秘密，不得侵犯商业秘密和个人隐私，不得违反国家法律法规，依法保护信息主体的合法权益。</w:t>
      </w:r>
    </w:p>
    <w:p w:rsidR="00544AAD" w:rsidRDefault="00D13561" w:rsidP="00674DD7">
      <w:pPr>
        <w:pStyle w:val="20"/>
        <w:spacing w:before="31"/>
      </w:pPr>
      <w:r>
        <w:rPr>
          <w:rFonts w:hint="eastAsia"/>
        </w:rPr>
        <w:t>第五条（部门职责）</w:t>
      </w:r>
    </w:p>
    <w:p w:rsidR="00544AAD" w:rsidRDefault="00D13561">
      <w:r>
        <w:rPr>
          <w:rFonts w:hint="eastAsia"/>
        </w:rPr>
        <w:t>市文化和旅游局负责建设和管理</w:t>
      </w:r>
      <w:r>
        <w:t>厦门市文化和旅游行业信用管理系统</w:t>
      </w:r>
      <w:r>
        <w:rPr>
          <w:rFonts w:hint="eastAsia"/>
        </w:rPr>
        <w:t>，提供全市文化和旅游行业信用信息服务，同时</w:t>
      </w:r>
      <w:r>
        <w:rPr>
          <w:rFonts w:hint="eastAsia"/>
        </w:rPr>
        <w:lastRenderedPageBreak/>
        <w:t>与市公共信用信息平台实现数据同步，通过“信用中国（福建厦门）”网站、厦门文化和旅游</w:t>
      </w:r>
      <w:proofErr w:type="gramStart"/>
      <w:r>
        <w:rPr>
          <w:rFonts w:hint="eastAsia"/>
        </w:rPr>
        <w:t>信用网</w:t>
      </w:r>
      <w:proofErr w:type="gramEnd"/>
      <w:r>
        <w:rPr>
          <w:rFonts w:hint="eastAsia"/>
        </w:rPr>
        <w:t>向社会公开全市文化和旅游行业市场主体相关信用信息。</w:t>
      </w:r>
    </w:p>
    <w:p w:rsidR="00544AAD" w:rsidRDefault="00D13561">
      <w:r>
        <w:rPr>
          <w:rFonts w:hint="eastAsia"/>
        </w:rPr>
        <w:t>各级文化和旅游行业主管部门应当加强对文化和旅游行业信用分级分类监管工作的领导，组织实施信用管理制度规范，建立健全工作协调机制，按照“试点先行、分批推进、成熟一批、推进一批”的原则，统筹推进文化和旅游行业信用体系建设整体工作。</w:t>
      </w:r>
    </w:p>
    <w:p w:rsidR="00544AAD" w:rsidRDefault="00D13561">
      <w:pPr>
        <w:pStyle w:val="1"/>
        <w:spacing w:before="93" w:after="62"/>
      </w:pPr>
      <w:r>
        <w:rPr>
          <w:rFonts w:hint="eastAsia"/>
        </w:rPr>
        <w:t>第二章 信用评价</w:t>
      </w:r>
    </w:p>
    <w:p w:rsidR="00544AAD" w:rsidRDefault="00D13561" w:rsidP="00674DD7">
      <w:pPr>
        <w:pStyle w:val="20"/>
        <w:spacing w:before="31"/>
      </w:pPr>
      <w:r>
        <w:rPr>
          <w:rFonts w:hint="eastAsia"/>
        </w:rPr>
        <w:t>第六条（评价标准）</w:t>
      </w:r>
    </w:p>
    <w:p w:rsidR="00544AAD" w:rsidRDefault="00D13561">
      <w:r>
        <w:rPr>
          <w:rFonts w:hint="eastAsia"/>
        </w:rPr>
        <w:t>厦门市文化和旅游行业信用评价从基础信用、政务信用、第三方信用和行业领域信用四个维度，分类编制文化和旅游行业市场主体和从业人员评价标准，确定评价方法，实施信用评价。</w:t>
      </w:r>
    </w:p>
    <w:p w:rsidR="00544AAD" w:rsidRDefault="00D13561" w:rsidP="00674DD7">
      <w:pPr>
        <w:pStyle w:val="20"/>
        <w:spacing w:before="31"/>
      </w:pPr>
      <w:r>
        <w:rPr>
          <w:rFonts w:hint="eastAsia"/>
        </w:rPr>
        <w:t>第七条（等级划分）</w:t>
      </w:r>
    </w:p>
    <w:p w:rsidR="00544AAD" w:rsidRDefault="00D13561">
      <w:r>
        <w:rPr>
          <w:rFonts w:hint="eastAsia"/>
        </w:rPr>
        <w:t>厦门市文化和旅游行业信用评价结果划分为守信优秀（A）、守信良好（B）、守信一般（C）、一般失信（D）、严重失信（E）5个等级。</w:t>
      </w:r>
    </w:p>
    <w:p w:rsidR="00544AAD" w:rsidRDefault="00D13561" w:rsidP="00634B94">
      <w:pPr>
        <w:spacing w:afterLines="30"/>
      </w:pPr>
      <w:r>
        <w:rPr>
          <w:rFonts w:hint="eastAsia"/>
        </w:rPr>
        <w:t>评价结果等级的具体划分标准如下：</w:t>
      </w:r>
    </w:p>
    <w:tbl>
      <w:tblPr>
        <w:tblStyle w:val="ac"/>
        <w:tblW w:w="0" w:type="auto"/>
        <w:tblLook w:val="04A0"/>
      </w:tblPr>
      <w:tblGrid>
        <w:gridCol w:w="817"/>
        <w:gridCol w:w="1375"/>
        <w:gridCol w:w="1744"/>
        <w:gridCol w:w="4586"/>
      </w:tblGrid>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t>等级</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分值范围</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信用情况</w:t>
            </w:r>
          </w:p>
        </w:tc>
        <w:tc>
          <w:tcPr>
            <w:tcW w:w="4586" w:type="dxa"/>
            <w:vAlign w:val="center"/>
          </w:tcPr>
          <w:p w:rsidR="00544AAD" w:rsidRDefault="00D13561">
            <w:pPr>
              <w:spacing w:line="520" w:lineRule="exact"/>
              <w:ind w:firstLineChars="0" w:firstLine="0"/>
              <w:jc w:val="center"/>
              <w:rPr>
                <w:sz w:val="28"/>
                <w:szCs w:val="28"/>
              </w:rPr>
            </w:pPr>
            <w:r>
              <w:rPr>
                <w:rFonts w:hint="eastAsia"/>
                <w:sz w:val="28"/>
                <w:szCs w:val="28"/>
              </w:rPr>
              <w:t>释义</w:t>
            </w:r>
          </w:p>
        </w:tc>
      </w:tr>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t>A</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[95,100]</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守信优秀</w:t>
            </w:r>
          </w:p>
        </w:tc>
        <w:tc>
          <w:tcPr>
            <w:tcW w:w="4586" w:type="dxa"/>
            <w:vAlign w:val="center"/>
          </w:tcPr>
          <w:p w:rsidR="00544AAD" w:rsidRDefault="00D13561">
            <w:pPr>
              <w:spacing w:line="520" w:lineRule="exact"/>
              <w:ind w:firstLineChars="0" w:firstLine="0"/>
              <w:rPr>
                <w:sz w:val="28"/>
                <w:szCs w:val="28"/>
              </w:rPr>
            </w:pPr>
            <w:r>
              <w:rPr>
                <w:rFonts w:hint="eastAsia"/>
                <w:sz w:val="28"/>
                <w:szCs w:val="28"/>
              </w:rPr>
              <w:t>表示在一定期限内，几乎无信用风险</w:t>
            </w:r>
          </w:p>
        </w:tc>
      </w:tr>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t>B</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[85,95)</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守信良好</w:t>
            </w:r>
          </w:p>
        </w:tc>
        <w:tc>
          <w:tcPr>
            <w:tcW w:w="4586" w:type="dxa"/>
            <w:vAlign w:val="center"/>
          </w:tcPr>
          <w:p w:rsidR="00544AAD" w:rsidRDefault="00D13561">
            <w:pPr>
              <w:spacing w:line="520" w:lineRule="exact"/>
              <w:ind w:firstLineChars="0" w:firstLine="0"/>
              <w:rPr>
                <w:sz w:val="28"/>
                <w:szCs w:val="28"/>
              </w:rPr>
            </w:pPr>
            <w:r>
              <w:rPr>
                <w:rFonts w:hint="eastAsia"/>
                <w:sz w:val="28"/>
                <w:szCs w:val="28"/>
              </w:rPr>
              <w:t>表示在一定期限内，基本无信用风险</w:t>
            </w:r>
          </w:p>
        </w:tc>
      </w:tr>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t>C</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[75,85)</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守信一般</w:t>
            </w:r>
          </w:p>
        </w:tc>
        <w:tc>
          <w:tcPr>
            <w:tcW w:w="4586" w:type="dxa"/>
            <w:vAlign w:val="center"/>
          </w:tcPr>
          <w:p w:rsidR="00544AAD" w:rsidRDefault="00D13561">
            <w:pPr>
              <w:spacing w:line="520" w:lineRule="exact"/>
              <w:ind w:firstLineChars="0" w:firstLine="0"/>
              <w:rPr>
                <w:sz w:val="28"/>
                <w:szCs w:val="28"/>
              </w:rPr>
            </w:pPr>
            <w:r>
              <w:rPr>
                <w:rFonts w:hint="eastAsia"/>
                <w:sz w:val="28"/>
                <w:szCs w:val="28"/>
              </w:rPr>
              <w:t>表示在一定期限内，有一定信用风险</w:t>
            </w:r>
          </w:p>
        </w:tc>
      </w:tr>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lastRenderedPageBreak/>
              <w:t>D</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[60,75)</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一般失信</w:t>
            </w:r>
          </w:p>
        </w:tc>
        <w:tc>
          <w:tcPr>
            <w:tcW w:w="4586" w:type="dxa"/>
            <w:vAlign w:val="center"/>
          </w:tcPr>
          <w:p w:rsidR="00544AAD" w:rsidRDefault="00D13561">
            <w:pPr>
              <w:spacing w:line="520" w:lineRule="exact"/>
              <w:ind w:firstLineChars="0" w:firstLine="0"/>
              <w:rPr>
                <w:sz w:val="28"/>
                <w:szCs w:val="28"/>
              </w:rPr>
            </w:pPr>
            <w:r>
              <w:rPr>
                <w:rFonts w:hint="eastAsia"/>
                <w:sz w:val="28"/>
                <w:szCs w:val="28"/>
              </w:rPr>
              <w:t>表示在一定期限内，有较大信用风险</w:t>
            </w:r>
          </w:p>
        </w:tc>
      </w:tr>
      <w:tr w:rsidR="00544AAD">
        <w:tc>
          <w:tcPr>
            <w:tcW w:w="817" w:type="dxa"/>
            <w:vAlign w:val="center"/>
          </w:tcPr>
          <w:p w:rsidR="00544AAD" w:rsidRDefault="00D13561">
            <w:pPr>
              <w:spacing w:line="520" w:lineRule="exact"/>
              <w:ind w:firstLineChars="0" w:firstLine="0"/>
              <w:jc w:val="center"/>
              <w:rPr>
                <w:sz w:val="28"/>
                <w:szCs w:val="28"/>
              </w:rPr>
            </w:pPr>
            <w:r>
              <w:rPr>
                <w:rFonts w:hint="eastAsia"/>
                <w:sz w:val="28"/>
                <w:szCs w:val="28"/>
              </w:rPr>
              <w:t>E</w:t>
            </w:r>
          </w:p>
        </w:tc>
        <w:tc>
          <w:tcPr>
            <w:tcW w:w="1375" w:type="dxa"/>
            <w:vAlign w:val="center"/>
          </w:tcPr>
          <w:p w:rsidR="00544AAD" w:rsidRDefault="00D13561">
            <w:pPr>
              <w:spacing w:line="520" w:lineRule="exact"/>
              <w:ind w:firstLineChars="0" w:firstLine="0"/>
              <w:jc w:val="center"/>
              <w:rPr>
                <w:sz w:val="28"/>
                <w:szCs w:val="28"/>
              </w:rPr>
            </w:pPr>
            <w:r>
              <w:rPr>
                <w:rFonts w:hint="eastAsia"/>
                <w:sz w:val="28"/>
                <w:szCs w:val="28"/>
              </w:rPr>
              <w:t>[0,60)</w:t>
            </w:r>
          </w:p>
        </w:tc>
        <w:tc>
          <w:tcPr>
            <w:tcW w:w="1744" w:type="dxa"/>
            <w:vAlign w:val="center"/>
          </w:tcPr>
          <w:p w:rsidR="00544AAD" w:rsidRDefault="00D13561">
            <w:pPr>
              <w:spacing w:line="520" w:lineRule="exact"/>
              <w:ind w:firstLineChars="0" w:firstLine="0"/>
              <w:jc w:val="center"/>
              <w:rPr>
                <w:sz w:val="28"/>
                <w:szCs w:val="28"/>
              </w:rPr>
            </w:pPr>
            <w:r>
              <w:rPr>
                <w:rFonts w:hint="eastAsia"/>
                <w:sz w:val="28"/>
                <w:szCs w:val="28"/>
              </w:rPr>
              <w:t>严重失信</w:t>
            </w:r>
          </w:p>
        </w:tc>
        <w:tc>
          <w:tcPr>
            <w:tcW w:w="4586" w:type="dxa"/>
            <w:vAlign w:val="center"/>
          </w:tcPr>
          <w:p w:rsidR="00544AAD" w:rsidRDefault="00D13561">
            <w:pPr>
              <w:spacing w:line="520" w:lineRule="exact"/>
              <w:ind w:firstLineChars="0" w:firstLine="0"/>
              <w:rPr>
                <w:sz w:val="28"/>
                <w:szCs w:val="28"/>
              </w:rPr>
            </w:pPr>
            <w:r>
              <w:rPr>
                <w:rFonts w:hint="eastAsia"/>
                <w:sz w:val="28"/>
                <w:szCs w:val="28"/>
              </w:rPr>
              <w:t>表示在一定期限内，有极大信用风险</w:t>
            </w:r>
          </w:p>
        </w:tc>
      </w:tr>
    </w:tbl>
    <w:p w:rsidR="00544AAD" w:rsidRDefault="00D13561" w:rsidP="00634B94">
      <w:pPr>
        <w:pStyle w:val="20"/>
        <w:spacing w:beforeLines="50"/>
      </w:pPr>
      <w:r>
        <w:rPr>
          <w:rFonts w:hint="eastAsia"/>
        </w:rPr>
        <w:t>第八条（直接认定类型）</w:t>
      </w:r>
    </w:p>
    <w:p w:rsidR="00544AAD" w:rsidRDefault="00D13561">
      <w:r>
        <w:rPr>
          <w:rFonts w:hint="eastAsia"/>
        </w:rPr>
        <w:t>市场主体存在国家机关认定的严重违法失信行为或被列入严重失信主体名单且未移除的，信用等级直接列为E级。</w:t>
      </w:r>
    </w:p>
    <w:p w:rsidR="00544AAD" w:rsidRDefault="00D13561" w:rsidP="00674DD7">
      <w:pPr>
        <w:pStyle w:val="20"/>
        <w:spacing w:before="31"/>
      </w:pPr>
      <w:r>
        <w:rPr>
          <w:rFonts w:hint="eastAsia"/>
        </w:rPr>
        <w:t>第九条（新登记注册市场主体评价）</w:t>
      </w:r>
    </w:p>
    <w:p w:rsidR="00544AAD" w:rsidRDefault="00D13561">
      <w:r>
        <w:rPr>
          <w:rFonts w:hint="eastAsia"/>
        </w:rPr>
        <w:t>新登记注册市场主体自登记注册之日起1年内（含）标注“新登记注册”，初始信用评价等级默认为</w:t>
      </w:r>
      <w:r>
        <w:t>B</w:t>
      </w:r>
      <w:r>
        <w:rPr>
          <w:rFonts w:hint="eastAsia"/>
        </w:rPr>
        <w:t>级，待进入第一轮评价周期时开始按照信用评价具体实施程序开展信用评价和分级分类管理。</w:t>
      </w:r>
    </w:p>
    <w:p w:rsidR="00544AAD" w:rsidRDefault="00D13561" w:rsidP="00674DD7">
      <w:pPr>
        <w:pStyle w:val="20"/>
        <w:spacing w:before="31"/>
      </w:pPr>
      <w:r>
        <w:rPr>
          <w:rFonts w:hint="eastAsia"/>
        </w:rPr>
        <w:t>第十条（动态管理）</w:t>
      </w:r>
    </w:p>
    <w:p w:rsidR="00544AAD" w:rsidRDefault="00D13561">
      <w:r>
        <w:rPr>
          <w:rFonts w:hint="eastAsia"/>
        </w:rPr>
        <w:t>信用评价应当依据文化和旅游行业公共信用信息数据采集和更新的频次，进行周期性的数据修订和结果计算。信用评价指标和信用评价结果实行动态管理。</w:t>
      </w:r>
    </w:p>
    <w:p w:rsidR="00544AAD" w:rsidRDefault="00D13561" w:rsidP="00674DD7">
      <w:pPr>
        <w:pStyle w:val="20"/>
        <w:spacing w:before="31"/>
      </w:pPr>
      <w:r>
        <w:rPr>
          <w:rFonts w:hint="eastAsia"/>
        </w:rPr>
        <w:t>第十一条（结果公开）</w:t>
      </w:r>
    </w:p>
    <w:p w:rsidR="00544AAD" w:rsidRDefault="00D13561">
      <w:r>
        <w:rPr>
          <w:rFonts w:hint="eastAsia"/>
        </w:rPr>
        <w:t>根据实际需要，确定信用评价结果的公开程度和公开范围，可分为如下三类：</w:t>
      </w:r>
    </w:p>
    <w:p w:rsidR="00544AAD" w:rsidRDefault="00D13561">
      <w:r>
        <w:rPr>
          <w:rFonts w:hint="eastAsia"/>
        </w:rPr>
        <w:t>（一）完全公开的，遵循国家相关法律法规和行业规定，通过“信用中国（福建厦门）”网站、厦门文化和旅游</w:t>
      </w:r>
      <w:proofErr w:type="gramStart"/>
      <w:r>
        <w:rPr>
          <w:rFonts w:hint="eastAsia"/>
        </w:rPr>
        <w:t>信用网</w:t>
      </w:r>
      <w:proofErr w:type="gramEnd"/>
      <w:r>
        <w:rPr>
          <w:rFonts w:hint="eastAsia"/>
        </w:rPr>
        <w:t>向社会公开；</w:t>
      </w:r>
    </w:p>
    <w:p w:rsidR="00544AAD" w:rsidRDefault="00D13561">
      <w:r>
        <w:rPr>
          <w:rFonts w:hint="eastAsia"/>
        </w:rPr>
        <w:t>（二）依授权公开的，仅限向被授权的主体披露信用评价结果；</w:t>
      </w:r>
    </w:p>
    <w:p w:rsidR="00544AAD" w:rsidRDefault="00D13561">
      <w:r>
        <w:rPr>
          <w:rFonts w:hint="eastAsia"/>
        </w:rPr>
        <w:t>（三）内部使用的，仅限于市区文化和旅游局、文化市场</w:t>
      </w:r>
      <w:r>
        <w:rPr>
          <w:rFonts w:hint="eastAsia"/>
        </w:rPr>
        <w:lastRenderedPageBreak/>
        <w:t>综合执法机构使用，或与相关政府部门进行共享使用。</w:t>
      </w:r>
    </w:p>
    <w:p w:rsidR="00544AAD" w:rsidRDefault="00D13561">
      <w:pPr>
        <w:pStyle w:val="1"/>
        <w:spacing w:before="93" w:after="62"/>
      </w:pPr>
      <w:r>
        <w:rPr>
          <w:rFonts w:hint="eastAsia"/>
        </w:rPr>
        <w:t>第三章 信用监管</w:t>
      </w:r>
    </w:p>
    <w:p w:rsidR="00544AAD" w:rsidRDefault="00D13561" w:rsidP="00674DD7">
      <w:pPr>
        <w:pStyle w:val="20"/>
        <w:spacing w:before="31"/>
      </w:pPr>
      <w:r>
        <w:rPr>
          <w:rFonts w:hint="eastAsia"/>
        </w:rPr>
        <w:t>第十二条（分级分类监管）</w:t>
      </w:r>
    </w:p>
    <w:p w:rsidR="00544AAD" w:rsidRDefault="00D13561">
      <w:r>
        <w:rPr>
          <w:rFonts w:hint="eastAsia"/>
        </w:rPr>
        <w:t>全市各级文化和旅游行政管理部门、文化市场综合执法机构应按下列规定对不同信用等级的市场主体实施差异化监管：</w:t>
      </w:r>
    </w:p>
    <w:p w:rsidR="00544AAD" w:rsidRDefault="00D13561">
      <w:r>
        <w:rPr>
          <w:rFonts w:hint="eastAsia"/>
        </w:rPr>
        <w:t>（一）对A级守信类主体，原则上在“双随机、</w:t>
      </w:r>
      <w:proofErr w:type="gramStart"/>
      <w:r>
        <w:rPr>
          <w:rFonts w:hint="eastAsia"/>
        </w:rPr>
        <w:t>一</w:t>
      </w:r>
      <w:proofErr w:type="gramEnd"/>
      <w:r>
        <w:rPr>
          <w:rFonts w:hint="eastAsia"/>
        </w:rPr>
        <w:t>公开”监管中不将其列入抽查检查范围。</w:t>
      </w:r>
    </w:p>
    <w:p w:rsidR="00544AAD" w:rsidRDefault="00D13561">
      <w:r>
        <w:rPr>
          <w:rFonts w:hint="eastAsia"/>
        </w:rPr>
        <w:t>（二）对B级守信类主体，每年至多进行一次“双随机、</w:t>
      </w:r>
      <w:proofErr w:type="gramStart"/>
      <w:r>
        <w:rPr>
          <w:rFonts w:hint="eastAsia"/>
        </w:rPr>
        <w:t>一</w:t>
      </w:r>
      <w:proofErr w:type="gramEnd"/>
      <w:r>
        <w:rPr>
          <w:rFonts w:hint="eastAsia"/>
        </w:rPr>
        <w:t>公开”抽查检查，采取包容审慎监管方式。</w:t>
      </w:r>
    </w:p>
    <w:p w:rsidR="00544AAD" w:rsidRDefault="00D13561">
      <w:r>
        <w:rPr>
          <w:rFonts w:hint="eastAsia"/>
        </w:rPr>
        <w:t>（三）对C级轻微失信类主体，在“双随机、</w:t>
      </w:r>
      <w:proofErr w:type="gramStart"/>
      <w:r>
        <w:rPr>
          <w:rFonts w:hint="eastAsia"/>
        </w:rPr>
        <w:t>一</w:t>
      </w:r>
      <w:proofErr w:type="gramEnd"/>
      <w:r>
        <w:rPr>
          <w:rFonts w:hint="eastAsia"/>
        </w:rPr>
        <w:t>公开”监管中适当减少抽查检查比例和频次，采取包容审慎监管方式，建立轻微违法行为免罚、轻罚清单。</w:t>
      </w:r>
    </w:p>
    <w:p w:rsidR="00544AAD" w:rsidRDefault="00D13561">
      <w:r>
        <w:rPr>
          <w:rFonts w:hint="eastAsia"/>
        </w:rPr>
        <w:t>（四）对D级一般失信类主体，在“双随机、</w:t>
      </w:r>
      <w:proofErr w:type="gramStart"/>
      <w:r>
        <w:rPr>
          <w:rFonts w:hint="eastAsia"/>
        </w:rPr>
        <w:t>一</w:t>
      </w:r>
      <w:proofErr w:type="gramEnd"/>
      <w:r>
        <w:rPr>
          <w:rFonts w:hint="eastAsia"/>
        </w:rPr>
        <w:t>公开”监管中，按法定或常规比例和频次进行抽查检查。</w:t>
      </w:r>
    </w:p>
    <w:p w:rsidR="00544AAD" w:rsidRDefault="00D13561">
      <w:r>
        <w:rPr>
          <w:rFonts w:hint="eastAsia"/>
        </w:rPr>
        <w:t>（五）对E</w:t>
      </w:r>
      <w:proofErr w:type="gramStart"/>
      <w:r>
        <w:rPr>
          <w:rFonts w:hint="eastAsia"/>
        </w:rPr>
        <w:t>级严重</w:t>
      </w:r>
      <w:proofErr w:type="gramEnd"/>
      <w:r>
        <w:rPr>
          <w:rFonts w:hint="eastAsia"/>
        </w:rPr>
        <w:t>失信类主体，在“双随机、</w:t>
      </w:r>
      <w:proofErr w:type="gramStart"/>
      <w:r>
        <w:rPr>
          <w:rFonts w:hint="eastAsia"/>
        </w:rPr>
        <w:t>一</w:t>
      </w:r>
      <w:proofErr w:type="gramEnd"/>
      <w:r>
        <w:rPr>
          <w:rFonts w:hint="eastAsia"/>
        </w:rPr>
        <w:t>公开”监管中列为重点监管对象，抽检比例不设上限，依法依规增加检查内容，加大抽查检查力度和频次。</w:t>
      </w:r>
    </w:p>
    <w:p w:rsidR="00544AAD" w:rsidRDefault="00D13561" w:rsidP="00674DD7">
      <w:pPr>
        <w:ind w:left="620"/>
      </w:pPr>
      <w:r>
        <w:rPr>
          <w:rFonts w:hint="eastAsia"/>
        </w:rPr>
        <w:t>上级主管部门对前款另有规定的，从其规定。</w:t>
      </w:r>
    </w:p>
    <w:p w:rsidR="00544AAD" w:rsidRDefault="00D13561" w:rsidP="00674DD7">
      <w:pPr>
        <w:pStyle w:val="20"/>
        <w:spacing w:before="31"/>
      </w:pPr>
      <w:r>
        <w:rPr>
          <w:rFonts w:hint="eastAsia"/>
        </w:rPr>
        <w:t>第十三条（A级和B级激励措施）</w:t>
      </w:r>
    </w:p>
    <w:p w:rsidR="00544AAD" w:rsidRDefault="00D13561">
      <w:r>
        <w:rPr>
          <w:rFonts w:hint="eastAsia"/>
        </w:rPr>
        <w:t>对于A级和B级市场主体，各级文化和旅游行业主管部门可以采取以下激励性措施，法律、法规、规章另有规定的除外：</w:t>
      </w:r>
    </w:p>
    <w:p w:rsidR="00544AAD" w:rsidRDefault="00D13561">
      <w:r>
        <w:rPr>
          <w:rFonts w:hint="eastAsia"/>
        </w:rPr>
        <w:t>（一）在对其办理文化和旅游行业的行政许可事项时可</w:t>
      </w:r>
      <w:proofErr w:type="gramStart"/>
      <w:r>
        <w:rPr>
          <w:rFonts w:hint="eastAsia"/>
        </w:rPr>
        <w:t>提供容缺受理</w:t>
      </w:r>
      <w:proofErr w:type="gramEnd"/>
      <w:r>
        <w:rPr>
          <w:rFonts w:hint="eastAsia"/>
        </w:rPr>
        <w:t>、告知承诺、简化程序、优先办理等便利措施；</w:t>
      </w:r>
    </w:p>
    <w:p w:rsidR="00544AAD" w:rsidRDefault="00D13561">
      <w:r>
        <w:rPr>
          <w:rFonts w:hint="eastAsia"/>
        </w:rPr>
        <w:lastRenderedPageBreak/>
        <w:t>（二）在安排财政性资金项目以及实施政府各类优惠政策中，优先考虑和扶持；</w:t>
      </w:r>
    </w:p>
    <w:p w:rsidR="00544AAD" w:rsidRDefault="00D13561">
      <w:r>
        <w:rPr>
          <w:rFonts w:hint="eastAsia"/>
        </w:rPr>
        <w:t>（三）优先在信用便民惠</w:t>
      </w:r>
      <w:proofErr w:type="gramStart"/>
      <w:r>
        <w:rPr>
          <w:rFonts w:hint="eastAsia"/>
        </w:rPr>
        <w:t>企应用</w:t>
      </w:r>
      <w:proofErr w:type="gramEnd"/>
      <w:r>
        <w:rPr>
          <w:rFonts w:hint="eastAsia"/>
        </w:rPr>
        <w:t>中予以推荐；</w:t>
      </w:r>
    </w:p>
    <w:p w:rsidR="00544AAD" w:rsidRDefault="00D13561">
      <w:r>
        <w:rPr>
          <w:rFonts w:hint="eastAsia"/>
        </w:rPr>
        <w:t>（四）优先利用“信用中国（福建厦门）”网站、厦门市文化和</w:t>
      </w:r>
      <w:proofErr w:type="gramStart"/>
      <w:r>
        <w:rPr>
          <w:rFonts w:hint="eastAsia"/>
        </w:rPr>
        <w:t>旅游局官网等</w:t>
      </w:r>
      <w:proofErr w:type="gramEnd"/>
      <w:r>
        <w:rPr>
          <w:rFonts w:hint="eastAsia"/>
        </w:rPr>
        <w:t>开展宣传；</w:t>
      </w:r>
    </w:p>
    <w:p w:rsidR="00544AAD" w:rsidRDefault="00D13561">
      <w:r>
        <w:rPr>
          <w:rFonts w:hint="eastAsia"/>
        </w:rPr>
        <w:t>（五）在文化和旅游行业主管部门组织的评优评奖活动中，优先授予其有关荣誉称号；</w:t>
      </w:r>
    </w:p>
    <w:p w:rsidR="00544AAD" w:rsidRDefault="00D13561">
      <w:r>
        <w:rPr>
          <w:rFonts w:hint="eastAsia"/>
        </w:rPr>
        <w:t>（六）引导金融、商业等市场服务机构给予优惠和便利；</w:t>
      </w:r>
    </w:p>
    <w:p w:rsidR="00544AAD" w:rsidRDefault="00D13561">
      <w:r>
        <w:rPr>
          <w:rFonts w:hint="eastAsia"/>
        </w:rPr>
        <w:t>（七）鼓励行业协会等社会组织加大扶持力度，为其市场宣传、业务拓展、职业发展等提供支持；</w:t>
      </w:r>
    </w:p>
    <w:p w:rsidR="00544AAD" w:rsidRDefault="00D13561">
      <w:r>
        <w:rPr>
          <w:rFonts w:hint="eastAsia"/>
        </w:rPr>
        <w:t>（八）国家或地方规定的其他激励性措施。</w:t>
      </w:r>
    </w:p>
    <w:p w:rsidR="00544AAD" w:rsidRDefault="00D13561" w:rsidP="00674DD7">
      <w:pPr>
        <w:pStyle w:val="20"/>
        <w:spacing w:before="31"/>
      </w:pPr>
      <w:r>
        <w:rPr>
          <w:rFonts w:hint="eastAsia"/>
        </w:rPr>
        <w:t>第十四条（C级督促措施）</w:t>
      </w:r>
    </w:p>
    <w:p w:rsidR="00544AAD" w:rsidRDefault="00D13561">
      <w:r>
        <w:rPr>
          <w:rFonts w:hint="eastAsia"/>
        </w:rPr>
        <w:t>对于C级市场主体，各级文化和旅游行业主管部门要加强行政指导，采取信用警示和诚信约谈等方式，宣传诚实守信相关法律法规、规章制度等，敦促其严格自律、诚信守法。</w:t>
      </w:r>
    </w:p>
    <w:p w:rsidR="00544AAD" w:rsidRDefault="00D13561" w:rsidP="00674DD7">
      <w:pPr>
        <w:pStyle w:val="20"/>
        <w:spacing w:before="31"/>
      </w:pPr>
      <w:r>
        <w:rPr>
          <w:rFonts w:hint="eastAsia"/>
        </w:rPr>
        <w:t>第十五条（D级和E级惩戒措施）</w:t>
      </w:r>
    </w:p>
    <w:p w:rsidR="00544AAD" w:rsidRDefault="00D13561">
      <w:r>
        <w:rPr>
          <w:rFonts w:hint="eastAsia"/>
        </w:rPr>
        <w:t>对于D级和E级市场主体，各级文化和旅游行业主管部门可以采取以下惩戒性措施，法律、法规另有规定的除外：</w:t>
      </w:r>
    </w:p>
    <w:p w:rsidR="00544AAD" w:rsidRDefault="00D13561">
      <w:r>
        <w:rPr>
          <w:rFonts w:hint="eastAsia"/>
        </w:rPr>
        <w:t>（一）依法从严审查文化和旅游行业的行政许可申请事项；</w:t>
      </w:r>
    </w:p>
    <w:p w:rsidR="00544AAD" w:rsidRDefault="00D13561">
      <w:r>
        <w:rPr>
          <w:rFonts w:hint="eastAsia"/>
        </w:rPr>
        <w:t>（二）利用“信用中国（福建厦门）”网站、厦门市文化和</w:t>
      </w:r>
      <w:proofErr w:type="gramStart"/>
      <w:r>
        <w:rPr>
          <w:rFonts w:hint="eastAsia"/>
        </w:rPr>
        <w:t>旅游局官网进行</w:t>
      </w:r>
      <w:proofErr w:type="gramEnd"/>
      <w:r>
        <w:rPr>
          <w:rFonts w:hint="eastAsia"/>
        </w:rPr>
        <w:t>信用预警公示；</w:t>
      </w:r>
    </w:p>
    <w:p w:rsidR="00544AAD" w:rsidRDefault="00D13561">
      <w:r>
        <w:rPr>
          <w:rFonts w:hint="eastAsia"/>
        </w:rPr>
        <w:t>（三）在文化和旅游主管部门组织的评优评奖或大型展览展示、组织保障等活动中，暂缓推荐；</w:t>
      </w:r>
    </w:p>
    <w:p w:rsidR="00544AAD" w:rsidRDefault="00D13561">
      <w:r>
        <w:rPr>
          <w:rFonts w:hint="eastAsia"/>
        </w:rPr>
        <w:lastRenderedPageBreak/>
        <w:t>（四）国家或地方规定的其他惩戒性措施。</w:t>
      </w:r>
    </w:p>
    <w:p w:rsidR="00544AAD" w:rsidRDefault="00D13561" w:rsidP="00674DD7">
      <w:pPr>
        <w:pStyle w:val="20"/>
        <w:spacing w:before="31"/>
      </w:pPr>
      <w:r>
        <w:rPr>
          <w:rFonts w:hint="eastAsia"/>
        </w:rPr>
        <w:t>第十六条（共享应用）</w:t>
      </w:r>
    </w:p>
    <w:p w:rsidR="00544AAD" w:rsidRDefault="00D13561">
      <w:r>
        <w:rPr>
          <w:rFonts w:hint="eastAsia"/>
        </w:rPr>
        <w:t>厦门市文化和旅游局按照相关规定将市场主体行业信用评价结果共享给市公共信用信息中心、市信用中心，推动文化和旅游行业信用评价结果在行政许可、招标投标、政府采购、评优创先、金融服务、资质认定、财政补贴等工作中的应用，促进文化和旅游行业市场主体和从业人员加强信用管理、提升诚信意识。</w:t>
      </w:r>
    </w:p>
    <w:p w:rsidR="00544AAD" w:rsidRDefault="00D13561">
      <w:pPr>
        <w:pStyle w:val="1"/>
        <w:spacing w:before="93" w:after="62"/>
      </w:pPr>
      <w:r>
        <w:rPr>
          <w:rFonts w:hint="eastAsia"/>
        </w:rPr>
        <w:t>第四章 权益保护</w:t>
      </w:r>
    </w:p>
    <w:p w:rsidR="00544AAD" w:rsidRDefault="00D13561" w:rsidP="00674DD7">
      <w:pPr>
        <w:pStyle w:val="20"/>
        <w:spacing w:before="31"/>
      </w:pPr>
      <w:r>
        <w:rPr>
          <w:rFonts w:hint="eastAsia"/>
        </w:rPr>
        <w:t>第十七条（异议申诉与复核）</w:t>
      </w:r>
    </w:p>
    <w:p w:rsidR="00544AAD" w:rsidRDefault="00D13561">
      <w:r>
        <w:rPr>
          <w:rFonts w:hint="eastAsia"/>
        </w:rPr>
        <w:t>文化和旅游行业市场主体和从业人员对其公共信用信息有异议的，可向厦门市文化和旅游局提出异议复核申请，并提供相关证明材料。</w:t>
      </w:r>
    </w:p>
    <w:p w:rsidR="00544AAD" w:rsidRDefault="00D13561">
      <w:r>
        <w:rPr>
          <w:rFonts w:hint="eastAsia"/>
        </w:rPr>
        <w:t>厦门市文化和旅游局应当在收到市场主体和从业人员异议复核申请之日起7个工作日内完成信用数据核查，并将核查结果告知市场主体。</w:t>
      </w:r>
    </w:p>
    <w:p w:rsidR="00544AAD" w:rsidRDefault="00D13561" w:rsidP="00674DD7">
      <w:pPr>
        <w:pStyle w:val="20"/>
        <w:spacing w:before="31"/>
      </w:pPr>
      <w:r>
        <w:rPr>
          <w:rFonts w:hint="eastAsia"/>
        </w:rPr>
        <w:t>第十八条（信用修复）</w:t>
      </w:r>
    </w:p>
    <w:p w:rsidR="00544AAD" w:rsidRDefault="00D13561">
      <w:r>
        <w:rPr>
          <w:rFonts w:hint="eastAsia"/>
        </w:rPr>
        <w:t>各级文化和旅游行业主管部门应加强文化和旅游行业市场主体及其从业人员信用修复工作，畅通信用修复渠道。</w:t>
      </w:r>
    </w:p>
    <w:p w:rsidR="00544AAD" w:rsidRDefault="00D13561">
      <w:pPr>
        <w:pStyle w:val="1"/>
        <w:spacing w:before="93" w:after="62"/>
      </w:pPr>
      <w:r>
        <w:rPr>
          <w:rFonts w:hint="eastAsia"/>
        </w:rPr>
        <w:t>第五章 附  则</w:t>
      </w:r>
    </w:p>
    <w:p w:rsidR="00544AAD" w:rsidRDefault="00D13561" w:rsidP="00674DD7">
      <w:pPr>
        <w:pStyle w:val="20"/>
        <w:spacing w:before="31"/>
      </w:pPr>
      <w:r>
        <w:rPr>
          <w:rFonts w:hint="eastAsia"/>
        </w:rPr>
        <w:t>第十九条（违规责任）</w:t>
      </w:r>
    </w:p>
    <w:p w:rsidR="00544AAD" w:rsidRDefault="00D13561">
      <w:r>
        <w:rPr>
          <w:rFonts w:hint="eastAsia"/>
        </w:rPr>
        <w:t>各级文化和旅游行业主管部门工作人员在开展行业信用评价工作中违反本办法规定，滥用职权、徇私舞弊、玩忽职守</w:t>
      </w:r>
      <w:r>
        <w:rPr>
          <w:rFonts w:hint="eastAsia"/>
        </w:rPr>
        <w:lastRenderedPageBreak/>
        <w:t>的，依法依规追究相关责任人责任。</w:t>
      </w:r>
    </w:p>
    <w:p w:rsidR="00544AAD" w:rsidRDefault="00D13561">
      <w:r>
        <w:rPr>
          <w:rFonts w:hint="eastAsia"/>
        </w:rPr>
        <w:t>第二十条</w:t>
      </w:r>
      <w:r>
        <w:t xml:space="preserve"> </w:t>
      </w:r>
      <w:r>
        <w:rPr>
          <w:rFonts w:hint="eastAsia"/>
        </w:rPr>
        <w:t>本办法由厦门市文化和旅游局负责解释。</w:t>
      </w:r>
    </w:p>
    <w:p w:rsidR="00544AAD" w:rsidRDefault="00D13561">
      <w:r>
        <w:rPr>
          <w:rFonts w:hint="eastAsia"/>
        </w:rPr>
        <w:t>第二十一条</w:t>
      </w:r>
      <w:r>
        <w:t xml:space="preserve"> </w:t>
      </w:r>
      <w:r>
        <w:rPr>
          <w:rFonts w:hint="eastAsia"/>
        </w:rPr>
        <w:t>本办法自 年 月 日起施</w:t>
      </w:r>
      <w:bookmarkStart w:id="0" w:name="_GoBack"/>
      <w:bookmarkEnd w:id="0"/>
      <w:r>
        <w:rPr>
          <w:rFonts w:hint="eastAsia"/>
        </w:rPr>
        <w:t>行，试行2年。</w:t>
      </w:r>
    </w:p>
    <w:sectPr w:rsidR="00544AAD" w:rsidSect="00544AAD">
      <w:headerReference w:type="even" r:id="rId6"/>
      <w:headerReference w:type="default" r:id="rId7"/>
      <w:footerReference w:type="even"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36F" w:rsidRDefault="00ED036F">
      <w:pPr>
        <w:spacing w:line="240" w:lineRule="auto"/>
      </w:pPr>
      <w:r>
        <w:separator/>
      </w:r>
    </w:p>
  </w:endnote>
  <w:endnote w:type="continuationSeparator" w:id="0">
    <w:p w:rsidR="00ED036F" w:rsidRDefault="00ED03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D" w:rsidRDefault="00544A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D" w:rsidRDefault="00544A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36F" w:rsidRDefault="00ED036F">
      <w:pPr>
        <w:spacing w:line="240" w:lineRule="auto"/>
      </w:pPr>
      <w:r>
        <w:separator/>
      </w:r>
    </w:p>
  </w:footnote>
  <w:footnote w:type="continuationSeparator" w:id="0">
    <w:p w:rsidR="00ED036F" w:rsidRDefault="00ED03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D" w:rsidRDefault="00544AA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D" w:rsidRDefault="00544A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AD" w:rsidRDefault="00544AAD">
    <w:pPr>
      <w:pStyle w:val="a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fzhang">
    <w15:presenceInfo w15:providerId="None" w15:userId="bfzhang"/>
  </w15:person>
  <w15:person w15:author="nini">
    <w15:presenceInfo w15:providerId="None" w15:userId="ni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1028"/>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RmZmFiNzFhOGRmMGRlNWMxNjc4YjZmMzU5MTc1YzIifQ=="/>
  </w:docVars>
  <w:rsids>
    <w:rsidRoot w:val="00C16F02"/>
    <w:rsid w:val="00027B79"/>
    <w:rsid w:val="00035638"/>
    <w:rsid w:val="000F5801"/>
    <w:rsid w:val="0010057B"/>
    <w:rsid w:val="0010476E"/>
    <w:rsid w:val="00145C80"/>
    <w:rsid w:val="00174BE5"/>
    <w:rsid w:val="002A6F99"/>
    <w:rsid w:val="003E1FD9"/>
    <w:rsid w:val="00544AAD"/>
    <w:rsid w:val="00573AE2"/>
    <w:rsid w:val="006125AA"/>
    <w:rsid w:val="00621145"/>
    <w:rsid w:val="00634B94"/>
    <w:rsid w:val="00674DD7"/>
    <w:rsid w:val="0081467B"/>
    <w:rsid w:val="008F5F9C"/>
    <w:rsid w:val="009F6BAF"/>
    <w:rsid w:val="00A11B20"/>
    <w:rsid w:val="00A64766"/>
    <w:rsid w:val="00B0348D"/>
    <w:rsid w:val="00B101BE"/>
    <w:rsid w:val="00B303A0"/>
    <w:rsid w:val="00B371E3"/>
    <w:rsid w:val="00C16F02"/>
    <w:rsid w:val="00C22EC7"/>
    <w:rsid w:val="00C9074B"/>
    <w:rsid w:val="00D13561"/>
    <w:rsid w:val="00D17BD9"/>
    <w:rsid w:val="00D60D2D"/>
    <w:rsid w:val="00E24BB9"/>
    <w:rsid w:val="00E251D8"/>
    <w:rsid w:val="00EA2501"/>
    <w:rsid w:val="00ED036F"/>
    <w:rsid w:val="00F35F8C"/>
    <w:rsid w:val="00F579CA"/>
    <w:rsid w:val="00F71233"/>
    <w:rsid w:val="021653B1"/>
    <w:rsid w:val="04A3117E"/>
    <w:rsid w:val="0D9A50E8"/>
    <w:rsid w:val="0DB80228"/>
    <w:rsid w:val="19A74E14"/>
    <w:rsid w:val="19D2120C"/>
    <w:rsid w:val="1CFF2872"/>
    <w:rsid w:val="1D3D65F4"/>
    <w:rsid w:val="1E1D38F7"/>
    <w:rsid w:val="20640C3F"/>
    <w:rsid w:val="230422C4"/>
    <w:rsid w:val="2FCF4EA9"/>
    <w:rsid w:val="360864B4"/>
    <w:rsid w:val="39B92E4D"/>
    <w:rsid w:val="3F805E4F"/>
    <w:rsid w:val="44745199"/>
    <w:rsid w:val="499E03EC"/>
    <w:rsid w:val="5E050BB2"/>
    <w:rsid w:val="6DDB7FC7"/>
    <w:rsid w:val="702473AE"/>
    <w:rsid w:val="71D1222D"/>
    <w:rsid w:val="74B714F4"/>
    <w:rsid w:val="791E2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Strong" w:semiHidden="0" w:uiPriority="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44AAD"/>
    <w:pPr>
      <w:widowControl w:val="0"/>
      <w:spacing w:line="590" w:lineRule="exact"/>
      <w:ind w:firstLineChars="200" w:firstLine="620"/>
      <w:jc w:val="both"/>
    </w:pPr>
    <w:rPr>
      <w:rFonts w:ascii="仿宋_GB2312" w:eastAsia="仿宋_GB2312" w:hAnsiTheme="minorHAnsi" w:cstheme="minorBidi"/>
      <w:kern w:val="2"/>
      <w:sz w:val="31"/>
      <w:szCs w:val="31"/>
    </w:rPr>
  </w:style>
  <w:style w:type="paragraph" w:styleId="1">
    <w:name w:val="heading 1"/>
    <w:basedOn w:val="a"/>
    <w:next w:val="a"/>
    <w:link w:val="1Char"/>
    <w:uiPriority w:val="9"/>
    <w:qFormat/>
    <w:rsid w:val="00544AAD"/>
    <w:pPr>
      <w:spacing w:beforeLines="30" w:afterLines="20"/>
      <w:ind w:firstLineChars="0" w:firstLine="0"/>
      <w:jc w:val="center"/>
      <w:outlineLvl w:val="0"/>
    </w:pPr>
    <w:rPr>
      <w:rFonts w:ascii="黑体" w:eastAsia="黑体" w:hAnsi="黑体"/>
    </w:rPr>
  </w:style>
  <w:style w:type="paragraph" w:styleId="20">
    <w:name w:val="heading 2"/>
    <w:basedOn w:val="a"/>
    <w:next w:val="a"/>
    <w:link w:val="2Char"/>
    <w:uiPriority w:val="9"/>
    <w:unhideWhenUsed/>
    <w:qFormat/>
    <w:rsid w:val="00544AAD"/>
    <w:pPr>
      <w:spacing w:beforeLines="10"/>
      <w:outlineLvl w:val="1"/>
    </w:pPr>
    <w:rPr>
      <w:rFonts w:ascii="楷体_GB2312" w:eastAsia="楷体_GB2312"/>
      <w:b/>
    </w:rPr>
  </w:style>
  <w:style w:type="paragraph" w:styleId="3">
    <w:name w:val="heading 3"/>
    <w:basedOn w:val="a"/>
    <w:next w:val="a"/>
    <w:link w:val="3Char"/>
    <w:uiPriority w:val="9"/>
    <w:semiHidden/>
    <w:unhideWhenUsed/>
    <w:qFormat/>
    <w:rsid w:val="00544AAD"/>
    <w:pP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rsid w:val="00544AAD"/>
    <w:pPr>
      <w:ind w:firstLine="420"/>
    </w:pPr>
    <w:rPr>
      <w:szCs w:val="24"/>
    </w:rPr>
  </w:style>
  <w:style w:type="paragraph" w:styleId="a3">
    <w:name w:val="Body Text Indent"/>
    <w:basedOn w:val="a"/>
    <w:uiPriority w:val="99"/>
    <w:semiHidden/>
    <w:unhideWhenUsed/>
    <w:qFormat/>
    <w:rsid w:val="00544AAD"/>
    <w:pPr>
      <w:spacing w:after="120"/>
      <w:ind w:leftChars="200" w:left="420"/>
    </w:pPr>
  </w:style>
  <w:style w:type="paragraph" w:styleId="a4">
    <w:name w:val="annotation text"/>
    <w:basedOn w:val="a"/>
    <w:link w:val="Char"/>
    <w:uiPriority w:val="99"/>
    <w:semiHidden/>
    <w:unhideWhenUsed/>
    <w:qFormat/>
    <w:rsid w:val="00544AAD"/>
    <w:pPr>
      <w:jc w:val="left"/>
    </w:pPr>
  </w:style>
  <w:style w:type="paragraph" w:styleId="a5">
    <w:name w:val="Balloon Text"/>
    <w:basedOn w:val="a"/>
    <w:link w:val="Char0"/>
    <w:uiPriority w:val="99"/>
    <w:semiHidden/>
    <w:unhideWhenUsed/>
    <w:qFormat/>
    <w:rsid w:val="00544AAD"/>
    <w:pPr>
      <w:spacing w:line="240" w:lineRule="auto"/>
    </w:pPr>
    <w:rPr>
      <w:sz w:val="18"/>
      <w:szCs w:val="18"/>
    </w:rPr>
  </w:style>
  <w:style w:type="paragraph" w:styleId="a6">
    <w:name w:val="footer"/>
    <w:basedOn w:val="a"/>
    <w:link w:val="Char1"/>
    <w:uiPriority w:val="99"/>
    <w:unhideWhenUsed/>
    <w:qFormat/>
    <w:rsid w:val="00544AAD"/>
    <w:pPr>
      <w:tabs>
        <w:tab w:val="center" w:pos="4153"/>
        <w:tab w:val="right" w:pos="8306"/>
      </w:tabs>
      <w:snapToGrid w:val="0"/>
      <w:spacing w:line="240" w:lineRule="auto"/>
      <w:ind w:firstLineChars="0" w:firstLine="0"/>
      <w:jc w:val="left"/>
    </w:pPr>
    <w:rPr>
      <w:rFonts w:eastAsiaTheme="minorEastAsia"/>
      <w:sz w:val="18"/>
      <w:szCs w:val="18"/>
    </w:rPr>
  </w:style>
  <w:style w:type="paragraph" w:styleId="a7">
    <w:name w:val="header"/>
    <w:basedOn w:val="a"/>
    <w:link w:val="Char2"/>
    <w:uiPriority w:val="99"/>
    <w:unhideWhenUsed/>
    <w:qFormat/>
    <w:rsid w:val="00544AAD"/>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paragraph" w:styleId="a8">
    <w:name w:val="Subtitle"/>
    <w:basedOn w:val="a"/>
    <w:next w:val="a"/>
    <w:link w:val="Char3"/>
    <w:uiPriority w:val="11"/>
    <w:qFormat/>
    <w:rsid w:val="00544AAD"/>
    <w:pPr>
      <w:spacing w:afterLines="50"/>
      <w:ind w:firstLineChars="0" w:firstLine="0"/>
      <w:jc w:val="center"/>
    </w:pPr>
    <w:rPr>
      <w:rFonts w:ascii="楷体_GB2312" w:eastAsia="楷体_GB2312"/>
      <w:b/>
      <w:sz w:val="36"/>
      <w:szCs w:val="40"/>
    </w:rPr>
  </w:style>
  <w:style w:type="paragraph" w:styleId="a9">
    <w:name w:val="Normal (Web)"/>
    <w:basedOn w:val="a"/>
    <w:uiPriority w:val="99"/>
    <w:semiHidden/>
    <w:unhideWhenUsed/>
    <w:qFormat/>
    <w:rsid w:val="00544AAD"/>
    <w:rPr>
      <w:rFonts w:ascii="Times New Roman" w:hAnsi="Times New Roman" w:cs="Times New Roman"/>
      <w:sz w:val="24"/>
      <w:szCs w:val="24"/>
    </w:rPr>
  </w:style>
  <w:style w:type="paragraph" w:styleId="aa">
    <w:name w:val="Title"/>
    <w:basedOn w:val="a"/>
    <w:next w:val="a"/>
    <w:link w:val="Char4"/>
    <w:uiPriority w:val="10"/>
    <w:qFormat/>
    <w:rsid w:val="00544AAD"/>
    <w:pPr>
      <w:spacing w:before="60" w:after="60"/>
      <w:ind w:firstLineChars="0" w:firstLine="0"/>
      <w:jc w:val="center"/>
      <w:outlineLvl w:val="0"/>
    </w:pPr>
    <w:rPr>
      <w:rFonts w:ascii="方正小标宋简体" w:eastAsia="方正小标宋简体" w:hAnsiTheme="majorHAnsi" w:cstheme="majorBidi"/>
      <w:bCs/>
      <w:sz w:val="40"/>
      <w:szCs w:val="32"/>
    </w:rPr>
  </w:style>
  <w:style w:type="paragraph" w:styleId="ab">
    <w:name w:val="annotation subject"/>
    <w:basedOn w:val="a4"/>
    <w:next w:val="a4"/>
    <w:link w:val="Char5"/>
    <w:uiPriority w:val="99"/>
    <w:semiHidden/>
    <w:unhideWhenUsed/>
    <w:qFormat/>
    <w:rsid w:val="00544AAD"/>
    <w:rPr>
      <w:b/>
      <w:bCs/>
    </w:rPr>
  </w:style>
  <w:style w:type="table" w:styleId="ac">
    <w:name w:val="Table Grid"/>
    <w:basedOn w:val="a1"/>
    <w:uiPriority w:val="59"/>
    <w:qFormat/>
    <w:rsid w:val="00544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544AAD"/>
    <w:rPr>
      <w:b/>
    </w:rPr>
  </w:style>
  <w:style w:type="character" w:styleId="ae">
    <w:name w:val="Emphasis"/>
    <w:basedOn w:val="a0"/>
    <w:uiPriority w:val="20"/>
    <w:qFormat/>
    <w:rsid w:val="00544AAD"/>
    <w:rPr>
      <w:i/>
    </w:rPr>
  </w:style>
  <w:style w:type="character" w:styleId="af">
    <w:name w:val="annotation reference"/>
    <w:basedOn w:val="a0"/>
    <w:uiPriority w:val="99"/>
    <w:semiHidden/>
    <w:unhideWhenUsed/>
    <w:qFormat/>
    <w:rsid w:val="00544AAD"/>
    <w:rPr>
      <w:sz w:val="21"/>
      <w:szCs w:val="21"/>
    </w:rPr>
  </w:style>
  <w:style w:type="paragraph" w:customStyle="1" w:styleId="af0">
    <w:name w:val="研究院标准样式"/>
    <w:basedOn w:val="a"/>
    <w:qFormat/>
    <w:rsid w:val="00544AAD"/>
  </w:style>
  <w:style w:type="character" w:customStyle="1" w:styleId="Char2">
    <w:name w:val="页眉 Char"/>
    <w:basedOn w:val="a0"/>
    <w:link w:val="a7"/>
    <w:uiPriority w:val="99"/>
    <w:qFormat/>
    <w:rsid w:val="00544AAD"/>
    <w:rPr>
      <w:sz w:val="18"/>
      <w:szCs w:val="18"/>
    </w:rPr>
  </w:style>
  <w:style w:type="character" w:customStyle="1" w:styleId="Char1">
    <w:name w:val="页脚 Char"/>
    <w:basedOn w:val="a0"/>
    <w:link w:val="a6"/>
    <w:uiPriority w:val="99"/>
    <w:qFormat/>
    <w:rsid w:val="00544AAD"/>
    <w:rPr>
      <w:sz w:val="18"/>
      <w:szCs w:val="18"/>
    </w:rPr>
  </w:style>
  <w:style w:type="character" w:customStyle="1" w:styleId="Char3">
    <w:name w:val="副标题 Char"/>
    <w:basedOn w:val="a0"/>
    <w:link w:val="a8"/>
    <w:uiPriority w:val="11"/>
    <w:qFormat/>
    <w:rsid w:val="00544AAD"/>
    <w:rPr>
      <w:rFonts w:ascii="楷体_GB2312" w:eastAsia="楷体_GB2312"/>
      <w:b/>
      <w:sz w:val="36"/>
      <w:szCs w:val="40"/>
    </w:rPr>
  </w:style>
  <w:style w:type="character" w:customStyle="1" w:styleId="Char4">
    <w:name w:val="标题 Char"/>
    <w:basedOn w:val="a0"/>
    <w:link w:val="aa"/>
    <w:uiPriority w:val="10"/>
    <w:qFormat/>
    <w:rsid w:val="00544AAD"/>
    <w:rPr>
      <w:rFonts w:ascii="方正小标宋简体" w:eastAsia="方正小标宋简体" w:hAnsiTheme="majorHAnsi" w:cstheme="majorBidi"/>
      <w:bCs/>
      <w:sz w:val="40"/>
      <w:szCs w:val="32"/>
    </w:rPr>
  </w:style>
  <w:style w:type="character" w:customStyle="1" w:styleId="1Char">
    <w:name w:val="标题 1 Char"/>
    <w:basedOn w:val="a0"/>
    <w:link w:val="1"/>
    <w:uiPriority w:val="9"/>
    <w:qFormat/>
    <w:rsid w:val="00544AAD"/>
    <w:rPr>
      <w:rFonts w:ascii="黑体" w:eastAsia="黑体" w:hAnsi="黑体"/>
      <w:sz w:val="31"/>
      <w:szCs w:val="31"/>
    </w:rPr>
  </w:style>
  <w:style w:type="character" w:customStyle="1" w:styleId="2Char">
    <w:name w:val="标题 2 Char"/>
    <w:basedOn w:val="a0"/>
    <w:link w:val="20"/>
    <w:uiPriority w:val="9"/>
    <w:semiHidden/>
    <w:qFormat/>
    <w:rsid w:val="00544AAD"/>
    <w:rPr>
      <w:rFonts w:ascii="楷体_GB2312" w:eastAsia="楷体_GB2312"/>
      <w:b/>
      <w:sz w:val="31"/>
      <w:szCs w:val="31"/>
    </w:rPr>
  </w:style>
  <w:style w:type="character" w:customStyle="1" w:styleId="3Char">
    <w:name w:val="标题 3 Char"/>
    <w:basedOn w:val="a0"/>
    <w:link w:val="3"/>
    <w:uiPriority w:val="9"/>
    <w:semiHidden/>
    <w:qFormat/>
    <w:rsid w:val="00544AAD"/>
    <w:rPr>
      <w:rFonts w:ascii="仿宋_GB2312" w:eastAsia="仿宋_GB2312"/>
      <w:b/>
      <w:sz w:val="31"/>
      <w:szCs w:val="31"/>
    </w:rPr>
  </w:style>
  <w:style w:type="character" w:customStyle="1" w:styleId="Char0">
    <w:name w:val="批注框文本 Char"/>
    <w:basedOn w:val="a0"/>
    <w:link w:val="a5"/>
    <w:uiPriority w:val="99"/>
    <w:semiHidden/>
    <w:qFormat/>
    <w:rsid w:val="00544AAD"/>
    <w:rPr>
      <w:rFonts w:ascii="仿宋_GB2312" w:eastAsia="仿宋_GB2312" w:hAnsiTheme="minorHAnsi" w:cstheme="minorBidi"/>
      <w:kern w:val="2"/>
      <w:sz w:val="18"/>
      <w:szCs w:val="18"/>
    </w:rPr>
  </w:style>
  <w:style w:type="character" w:customStyle="1" w:styleId="Char">
    <w:name w:val="批注文字 Char"/>
    <w:basedOn w:val="a0"/>
    <w:link w:val="a4"/>
    <w:uiPriority w:val="99"/>
    <w:semiHidden/>
    <w:qFormat/>
    <w:rsid w:val="00544AAD"/>
    <w:rPr>
      <w:rFonts w:ascii="仿宋_GB2312" w:eastAsia="仿宋_GB2312" w:hAnsiTheme="minorHAnsi" w:cstheme="minorBidi"/>
      <w:kern w:val="2"/>
      <w:sz w:val="31"/>
      <w:szCs w:val="31"/>
    </w:rPr>
  </w:style>
  <w:style w:type="character" w:customStyle="1" w:styleId="Char5">
    <w:name w:val="批注主题 Char"/>
    <w:basedOn w:val="Char"/>
    <w:link w:val="ab"/>
    <w:uiPriority w:val="99"/>
    <w:semiHidden/>
    <w:qFormat/>
    <w:rsid w:val="00544AAD"/>
    <w:rPr>
      <w:rFonts w:ascii="仿宋_GB2312" w:eastAsia="仿宋_GB2312" w:hAnsiTheme="minorHAnsi" w:cstheme="minorBidi"/>
      <w:b/>
      <w:bCs/>
      <w:kern w:val="2"/>
      <w:sz w:val="31"/>
      <w:szCs w:val="3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514</Words>
  <Characters>2930</Characters>
  <Application>Microsoft Office Word</Application>
  <DocSecurity>0</DocSecurity>
  <Lines>24</Lines>
  <Paragraphs>6</Paragraphs>
  <ScaleCrop>false</ScaleCrop>
  <Company>china</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zhangbf</dc:creator>
  <cp:lastModifiedBy>张兵</cp:lastModifiedBy>
  <cp:revision>10</cp:revision>
  <dcterms:created xsi:type="dcterms:W3CDTF">2022-11-04T06:46:00Z</dcterms:created>
  <dcterms:modified xsi:type="dcterms:W3CDTF">2023-02-17T03:04:00Z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E40722CC4F2A4F28B11C9CE4CF4FA548</vt:lpwstr>
  </property>
</Properties>
</file>