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仿宋_GB2312"/>
          <w:sz w:val="44"/>
          <w:szCs w:val="44"/>
        </w:rPr>
      </w:pPr>
      <w:r>
        <w:rPr>
          <w:rFonts w:hint="eastAsia" w:ascii="方正小标宋简体" w:hAnsi="仿宋" w:eastAsia="方正小标宋简体" w:cs="仿宋_GB2312"/>
          <w:sz w:val="44"/>
          <w:szCs w:val="44"/>
        </w:rPr>
        <w:t>2022年厦门市少年儿童图书馆预算说明</w:t>
      </w:r>
    </w:p>
    <w:p>
      <w:pPr>
        <w:spacing w:line="560" w:lineRule="exact"/>
        <w:ind w:firstLine="640" w:firstLineChars="200"/>
        <w:rPr>
          <w:rFonts w:hint="eastAsia" w:ascii="仿宋_GB2312" w:hAnsi="仿宋_GB2312" w:eastAsia="仿宋_GB2312" w:cs="仿宋_GB2312"/>
          <w:sz w:val="32"/>
          <w:szCs w:val="32"/>
        </w:rPr>
      </w:pPr>
    </w:p>
    <w:p>
      <w:pPr>
        <w:tabs>
          <w:tab w:val="left" w:pos="7513"/>
        </w:tabs>
        <w:adjustRightInd w:val="0"/>
        <w:snapToGrid w:val="0"/>
        <w:spacing w:line="560" w:lineRule="exact"/>
        <w:ind w:firstLine="640" w:firstLineChars="200"/>
        <w:jc w:val="center"/>
        <w:rPr>
          <w:rFonts w:hint="eastAsia" w:ascii="黑体" w:hAnsi="Calibri" w:eastAsia="黑体" w:cs="Times New Roman"/>
          <w:sz w:val="32"/>
          <w:szCs w:val="32"/>
        </w:rPr>
      </w:pPr>
      <w:r>
        <w:rPr>
          <w:rFonts w:hint="eastAsia" w:ascii="黑体" w:hAnsi="Calibri" w:eastAsia="黑体" w:cs="Times New Roman"/>
          <w:sz w:val="32"/>
          <w:szCs w:val="32"/>
        </w:rPr>
        <w:t>目　　录</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40" w:lineRule="exact"/>
        <w:rPr>
          <w:rFonts w:hint="eastAsia" w:ascii="黑体" w:hAnsi="黑体" w:eastAsia="黑体" w:cs="黑体"/>
          <w:b w:val="0"/>
          <w:bCs w:val="0"/>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第一部分   单位概况</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一、单位主要职责</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二、单位基本情况</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三、单位主要工作任务</w:t>
      </w:r>
    </w:p>
    <w:p>
      <w:pPr>
        <w:spacing w:line="540" w:lineRule="exact"/>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第二部分   2022年单位预算说明</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一、2022年单位预算收支总体情况</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二、一般公共预算财政拨款支出预算情况</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三、政府性基金预算财政拨款支出情况</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四、“三公”经费财政拨款预算情况</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五、其他重要事项的情况说明</w:t>
      </w:r>
    </w:p>
    <w:p>
      <w:pPr>
        <w:spacing w:line="540" w:lineRule="exact"/>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第三部分   名词解释</w:t>
      </w:r>
    </w:p>
    <w:p>
      <w:pPr>
        <w:spacing w:line="540" w:lineRule="exact"/>
        <w:rPr>
          <w:rFonts w:hint="eastAsia" w:ascii="黑体" w:hAnsi="黑体" w:eastAsia="黑体" w:cs="黑体"/>
          <w:sz w:val="32"/>
          <w:szCs w:val="32"/>
        </w:rPr>
      </w:pPr>
      <w:r>
        <w:rPr>
          <w:rFonts w:hint="eastAsia" w:ascii="黑体" w:hAnsi="黑体" w:eastAsia="黑体" w:cs="黑体"/>
          <w:sz w:val="32"/>
          <w:szCs w:val="32"/>
        </w:rPr>
        <w:t>　　第四部分   2022年单位预算附表</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一、单位收支预算总体情况表</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二、单位收入预算总体情况表</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三、单位支出预算总体情况表</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四、财政拨款收支预算总体情况表</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 一般公共预算支出情况表</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六、一般公共预算基本支出情况表（经济分类款级科目）</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七、一般公共预算“三公”经费支出情况表</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八、政府性基金预算支出情况表</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九、市对区转移支付项目支出预算表</w:t>
      </w:r>
      <w:r>
        <w:rPr>
          <w:rFonts w:hint="eastAsia" w:ascii="仿宋_GB2312" w:hAnsi="仿宋_GB2312" w:eastAsia="仿宋_GB2312" w:cs="仿宋_GB2312"/>
          <w:sz w:val="32"/>
          <w:szCs w:val="32"/>
        </w:rPr>
        <w:tab/>
      </w:r>
    </w:p>
    <w:p>
      <w:pPr>
        <w:spacing w:line="540" w:lineRule="exact"/>
        <w:jc w:val="center"/>
        <w:rPr>
          <w:rFonts w:hint="eastAsia" w:ascii="黑体" w:hAnsi="黑体" w:eastAsia="黑体" w:cs="黑体"/>
          <w:sz w:val="32"/>
          <w:szCs w:val="32"/>
        </w:rPr>
      </w:pPr>
      <w:r>
        <w:rPr>
          <w:rFonts w:hint="eastAsia" w:ascii="黑体" w:hAnsi="黑体" w:eastAsia="黑体" w:cs="黑体"/>
          <w:sz w:val="32"/>
          <w:szCs w:val="32"/>
        </w:rPr>
        <w:t>第一部分  单位概况</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一、单位主要职责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厦门市少年儿童图书馆的主要职责是：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（一）收藏与传递文献信息资料，促进社会文化教育发展。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（二）各类型文献资料的采编与存贮，文献资料的借阅、咨询、代查、检索等服务，电子信息阅读（包括电子出版物和网络电子信息）。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（三）儿童信息网站建设、管理与服务，儿童文献数字化处理，儿童图书馆学研究与业务辅导，文献信息资料的编辑、出版，各类阅读辅导和智力开发，协作协调本地区儿童图书馆(室)的工作。</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二、单位基本情况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厦门市少年儿童图书馆包括5个科室，人员编制数38人，在职人数37人。</w:t>
      </w:r>
      <w:r>
        <w:rPr>
          <w:rFonts w:hint="eastAsia" w:ascii="仿宋_GB2312" w:hAnsi="仿宋_GB2312" w:eastAsia="仿宋_GB2312" w:cs="仿宋_GB2312"/>
          <w:sz w:val="32"/>
          <w:szCs w:val="32"/>
        </w:rPr>
        <w:tab/>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三、单位主要工作任务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2022年，厦门市少年儿童图书馆主要任务是：在做好疫情防控工作的同时，积极开展各项业务建设和读者服务工作。围绕上述任务，重点抓好以下工作：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上级组织相关要求，结合本馆实际情况，制定《厦门市少年儿童图书馆党支部2022年全面从严治党主体责任清单》，认真履行“从严治党”主体责任。贯彻落实十九届六中全会精神、省第十一次党代会精神，以实际行动迎接党的二十大的召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文化和旅游部、国家发展改革委、财政部联合印发的《关于推动公共文化服务高质量发展的意见》中关于高质量发展、标准化、均等化等要求，以及中国共产党厦门市第十三次代表大会《关于中共厦门市第十二届委员会报告的决议》中，关于“加强公共文化服务高质量供给”的指示精神，进一步提升公共文化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（三）继续做好常态化疫情防控下的图书馆开放工作。抓好日常流通和读者活动，继续利用本馆各类线上线下平台，开展主题多样的周末讲座和读者服务活动。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（四）加强与相关政府职能部门的协作协调，特别是与教育部门的沟通协作，共同开展以阅读为载体的“红读”主题活动，充分发挥图书馆的社会教育功能，为未成年人提供更好的服务。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（五）继续做好图书馆日常流通和读者活动；加强馆校合作，进一步发挥图书馆校外教育与实践基地的作用；与社区合作，为辖区内的未成年人及家长开展主题活动、提供实践平台。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（六）做好综合楼办公人员转移及综合楼修缮工程的前期准备工作。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（七）持续开展党风廉政教育。</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（八）继续把意识形态（含网络、宗教意识形态）工作摆在重要议事日程，落实好意识形态工作责任制，常抓不懈。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（九）安全生产常抓不懈。继续深入学习贯彻习近平总书记关于安全生产重要论述专题，开展扫黑除恶专项斗争，做好安全生产专项整治三年行动、反恐等重要安全工作，确保单位平稳健康运行。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（十）继续切实做好公共场所生活垃圾分类工作；围绕“爱心厦门”主题，继续做好文化志愿队伍的管理工作，使文化志愿活动更具常态化，培育、保持服务高效的文化志愿者团体，进一步提升文明创建工作。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540" w:lineRule="exact"/>
        <w:ind w:firstLine="640" w:firstLineChars="200"/>
        <w:jc w:val="center"/>
        <w:rPr>
          <w:rFonts w:hint="eastAsia" w:ascii="黑体" w:hAnsi="黑体" w:eastAsia="黑体" w:cs="黑体"/>
          <w:sz w:val="32"/>
          <w:szCs w:val="32"/>
        </w:rPr>
      </w:pPr>
      <w:bookmarkStart w:id="0" w:name="_GoBack"/>
      <w:r>
        <w:rPr>
          <w:rFonts w:hint="eastAsia" w:ascii="黑体" w:hAnsi="黑体" w:eastAsia="黑体" w:cs="黑体"/>
          <w:sz w:val="32"/>
          <w:szCs w:val="32"/>
        </w:rPr>
        <w:t>第二部分  2022年单位预算说明</w:t>
      </w:r>
    </w:p>
    <w:bookmarkEnd w:id="0"/>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一、2022年单位预算收支总体情况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根据预算管理的有关规定，单位的全部收入和支出均纳入单位预算管理。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（一）厦门市少年儿童图书馆2022年收入预算为2,204.85万元，比2021年预算数增加234.89万元，增长11.92％，具体情况如下：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1.财政拨款收入1,825.35万元，其中一般公共预算拨款收入1,825.35万元，政府性基金拨款收入0.00万元，国有资本经营预算拨款收入0.00万元；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2.财政专户管理资金收入0.00万元；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3.事业收入10.00万元；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4.事业单位经营收入195.00万元；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5.上级补助收入0.00万元；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6.附属单位上缴收入0.00万元；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7.其他收入14.50万元；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8.上年结转结余160.00万元。</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（二）厦门市少年儿童图书馆2022年支出预算为2,204.85万元（不含市对区转移支付项目），比2021年预算数增加234.89万元，增长11.92％，具体情况如下：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1.基本支出1,515.35万元，其中，人员支出1,057.00万元，公用支出458.35万元；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2.项目支出310.00万元；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3.非财政拨款支出379.50万元。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（三）厦门市少年儿童图书馆2022年市对区转移支付项目预算为0.00万元。</w:t>
      </w:r>
      <w:r>
        <w:rPr>
          <w:rFonts w:hint="eastAsia" w:ascii="仿宋_GB2312" w:hAnsi="仿宋_GB2312" w:eastAsia="仿宋_GB2312" w:cs="仿宋_GB2312"/>
          <w:sz w:val="32"/>
          <w:szCs w:val="32"/>
        </w:rPr>
        <w:tab/>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二、一般公共预算财政拨款支出预算情况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2022年度一般公共预算支出1,825.35万元（不含市对区转移支付项目），比2021年预算数增加69.39万元，增长3.95%，主要是由于人员和公用经费增加。支出项目(按项级科目分类统计)包括：</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1.文化旅游体育与传媒支出（类）文化和旅游（款）图书馆（项）1,637.31万元。主要用于人员经费支出及保障机构正常运转、完成日常工作任务支出和事业发展等。</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2.社会保障和就业支出（类）行政事业单位养老支出（款）事业单位离退休（项）67.33万元。主要用于单位离退休人员费用。</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3.社会保障和就业支出（类）行政事业单位养老支出（款）机关事业单位基本养老保险缴费支出（项）56.40万元。主要用于各单位养老保险缴费支出。</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4.社会保障和就业支出（类）行政事业单位养老支出（款）机关事业单位职业年金缴费支出（项）19.36万元。主要用于单位职业年金缴费支出。</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5.卫生健康支出（类）行政事业单位医疗（款）事业单位医疗（项）32.40万元。主要用于单位医疗保险费用。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6.卫生健康支出（类）行政事业单位医疗（款）其他行政事业单位医疗支出（项）12.55万元。主要用于单位医疗补助费用。</w:t>
      </w:r>
      <w:r>
        <w:rPr>
          <w:rFonts w:hint="eastAsia" w:ascii="仿宋_GB2312" w:hAnsi="仿宋_GB2312" w:eastAsia="仿宋_GB2312" w:cs="仿宋_GB2312"/>
          <w:sz w:val="32"/>
          <w:szCs w:val="32"/>
        </w:rPr>
        <w:tab/>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三、政府性基金预算财政拨款支出情况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2022年度政府性基金支出0.00万元，与上年预算一致。2022年没有使用政府性基金预算拨款安排支出。 </w:t>
      </w:r>
      <w:r>
        <w:rPr>
          <w:rFonts w:hint="eastAsia" w:ascii="仿宋_GB2312" w:hAnsi="仿宋_GB2312" w:eastAsia="仿宋_GB2312" w:cs="仿宋_GB2312"/>
          <w:sz w:val="32"/>
          <w:szCs w:val="32"/>
        </w:rPr>
        <w:tab/>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四、“三公”经费财政拨款预算情况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厦门市少年儿童图书馆单位2022年“三公”经费财政拨款预算数为6.31万元，其中：因公出国（境）经费0.00万元，公务接待费0.90万元，公务用车购置及运行费5.41万元。具体情况如下：</w:t>
      </w:r>
      <w:r>
        <w:rPr>
          <w:rFonts w:hint="eastAsia" w:ascii="仿宋_GB2312" w:hAnsi="仿宋_GB2312" w:eastAsia="仿宋_GB2312" w:cs="仿宋_GB2312"/>
          <w:sz w:val="32"/>
          <w:szCs w:val="32"/>
        </w:rPr>
        <w:tab/>
      </w:r>
    </w:p>
    <w:p>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（一）因公出国（境）经费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2022年预算安排0.00万元。与上年预算一致，主要原因是:2021年没有因公出国（境）安排。</w:t>
      </w:r>
    </w:p>
    <w:p>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（二）公务接待费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2022年预算安排0.90万元。主要用于业务交流、协作等方面的接待活动。与上年预算相比增长80%，主要原因是:口径理解有误，造成填报错误。</w:t>
      </w:r>
    </w:p>
    <w:p>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2022年预算安排5.41万元，其中：公务用车运行费5.41万元，主要用于公务用车燃油、维修、保险等方面支出；公务用车购置费0.00万元。与上年预算相比下降9.98%，主要原因是: 根据要求压缩经费。</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五、其他重要事项的情况说明</w:t>
      </w:r>
    </w:p>
    <w:p>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厦门市少年儿童图书馆为事业单位，2022年无机关运行经费。</w:t>
      </w:r>
    </w:p>
    <w:p>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2022年厦门市少年儿童图书馆政府采购预算总额323.22万元，其中：政府采购货物预算323.22万元，政府采购工程预算0.00万元，政府采购服务预算0.00万元。 </w:t>
      </w:r>
    </w:p>
    <w:p>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截至2021年12月31日，厦门市少年儿童图书馆共有车辆2辆，单位价值50万以上通用设备4台（套），单位价值100万以上专用设备0台（套）。</w:t>
      </w:r>
    </w:p>
    <w:p>
      <w:pPr>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厦门市少年儿童图书馆2022年实行绩效目标管理的二级项目0个，涉及一般公共预算拨款0.00万元、政府性基金预算拨款0.00万元。</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p>
    <w:p>
      <w:pPr>
        <w:spacing w:line="5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第三部分  名词解释</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_GB2312"/>
          <w:sz w:val="32"/>
          <w:szCs w:val="32"/>
        </w:rPr>
        <w:t>一、基本支出：</w:t>
      </w:r>
      <w:r>
        <w:rPr>
          <w:rFonts w:hint="eastAsia" w:ascii="仿宋_GB2312" w:hAnsi="仿宋_GB2312" w:eastAsia="仿宋_GB2312" w:cs="仿宋_GB2312"/>
          <w:sz w:val="32"/>
          <w:szCs w:val="32"/>
        </w:rPr>
        <w:t>指为保障机构正常运转、完成日常工作任务而发生的人员支出、对个人和家庭的补助支出和公用支出。</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_GB2312"/>
          <w:sz w:val="32"/>
          <w:szCs w:val="32"/>
        </w:rPr>
        <w:t>二、项目支出：</w:t>
      </w:r>
      <w:r>
        <w:rPr>
          <w:rFonts w:hint="eastAsia" w:ascii="仿宋_GB2312" w:hAnsi="仿宋_GB2312" w:eastAsia="仿宋_GB2312" w:cs="仿宋_GB2312"/>
          <w:sz w:val="32"/>
          <w:szCs w:val="32"/>
        </w:rPr>
        <w:t>指在基本支出之外为完成特定行政任务和事业发展目标所发生的支出，包括</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专项、发展经费和基建项目。</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_GB2312"/>
          <w:sz w:val="32"/>
          <w:szCs w:val="32"/>
        </w:rPr>
        <w:t>三、“三公”经费：</w:t>
      </w:r>
      <w:r>
        <w:rPr>
          <w:rFonts w:hint="eastAsia" w:ascii="仿宋_GB2312" w:hAnsi="仿宋_GB2312" w:eastAsia="仿宋_GB2312" w:cs="仿宋_GB2312"/>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仿宋" w:eastAsia="楷体_GB2312" w:cs="仿宋_GB2312"/>
          <w:sz w:val="32"/>
          <w:szCs w:val="32"/>
        </w:rPr>
        <w:t>四、机关运行经费：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ab/>
      </w:r>
    </w:p>
    <w:p>
      <w:pPr>
        <w:spacing w:line="560" w:lineRule="exact"/>
        <w:jc w:val="center"/>
        <w:rPr>
          <w:rFonts w:hint="eastAsia" w:ascii="仿宋_GB2312" w:hAnsi="仿宋_GB2312" w:eastAsia="仿宋_GB2312" w:cs="仿宋_GB2312"/>
          <w:b/>
          <w:bCs/>
          <w:sz w:val="32"/>
          <w:szCs w:val="32"/>
        </w:rPr>
      </w:pPr>
      <w:r>
        <w:rPr>
          <w:rFonts w:hint="eastAsia" w:ascii="黑体" w:hAnsi="黑体" w:eastAsia="黑体" w:cs="黑体"/>
          <w:sz w:val="32"/>
          <w:szCs w:val="32"/>
        </w:rPr>
        <w:t>第四部分  2022年单位预算附表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一、单位收支预算总体情况表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二、单位收入预算总体情况表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三、单位支出预算总体情况表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四、财政拨款收支预算总体情况表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六、一般公共预算基本支出情况表（经济分类款级科目）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九、市对区转移支付项目支出预算表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60D3BCC"/>
    <w:rsid w:val="00174FA4"/>
    <w:rsid w:val="00195EEE"/>
    <w:rsid w:val="00250CF1"/>
    <w:rsid w:val="0033442B"/>
    <w:rsid w:val="004E5FCE"/>
    <w:rsid w:val="005B5BB4"/>
    <w:rsid w:val="00683B0B"/>
    <w:rsid w:val="006C12F3"/>
    <w:rsid w:val="007B6AB1"/>
    <w:rsid w:val="007C4A04"/>
    <w:rsid w:val="00836F90"/>
    <w:rsid w:val="00844D3A"/>
    <w:rsid w:val="00946331"/>
    <w:rsid w:val="00A57556"/>
    <w:rsid w:val="00A67620"/>
    <w:rsid w:val="00C61EC1"/>
    <w:rsid w:val="00E5700E"/>
    <w:rsid w:val="00ED7D2A"/>
    <w:rsid w:val="00EF7F19"/>
    <w:rsid w:val="00F618DD"/>
    <w:rsid w:val="07F101B8"/>
    <w:rsid w:val="08F352F6"/>
    <w:rsid w:val="12EF2C5F"/>
    <w:rsid w:val="16695452"/>
    <w:rsid w:val="17CA4357"/>
    <w:rsid w:val="38F76BFC"/>
    <w:rsid w:val="460D3BCC"/>
    <w:rsid w:val="5BDD3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595</Words>
  <Characters>3394</Characters>
  <Lines>28</Lines>
  <Paragraphs>7</Paragraphs>
  <TotalTime>33</TotalTime>
  <ScaleCrop>false</ScaleCrop>
  <LinksUpToDate>false</LinksUpToDate>
  <CharactersWithSpaces>3982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2022-02-25T08:49:00Z</dcterms:created>
  <dc:creator>DELL</dc:creator>
  <cp:lastModifiedBy>芮祯</cp:lastModifiedBy>
  <dcterms:modified xsi:type="dcterms:W3CDTF">2023-03-22T00:29:28Z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